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46604" w14:textId="1A29CE6A" w:rsidR="00CC40FA" w:rsidRDefault="00805361" w:rsidP="00ED0EEA">
      <w:pPr>
        <w:pStyle w:val="Default"/>
        <w:jc w:val="right"/>
        <w:rPr>
          <w:b/>
          <w:bCs/>
          <w:sz w:val="32"/>
          <w:szCs w:val="32"/>
        </w:rPr>
      </w:pPr>
      <w:r>
        <w:rPr>
          <w:b/>
          <w:bCs/>
          <w:noProof/>
          <w:sz w:val="32"/>
          <w:szCs w:val="32"/>
          <w:lang w:eastAsia="en-GB"/>
        </w:rPr>
        <w:drawing>
          <wp:inline distT="0" distB="0" distL="0" distR="0" wp14:anchorId="3DC54473" wp14:editId="50E08190">
            <wp:extent cx="1895364" cy="1143000"/>
            <wp:effectExtent l="0" t="0" r="0" b="0"/>
            <wp:docPr id="5" name="Picture 5" descr="C:\Users\57492\AppData\Local\Microsoft\Windows\INetCache\Content.MSO\1756A4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492\AppData\Local\Microsoft\Windows\INetCache\Content.MSO\1756A44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412" cy="1162930"/>
                    </a:xfrm>
                    <a:prstGeom prst="rect">
                      <a:avLst/>
                    </a:prstGeom>
                    <a:noFill/>
                    <a:ln>
                      <a:noFill/>
                    </a:ln>
                  </pic:spPr>
                </pic:pic>
              </a:graphicData>
            </a:graphic>
          </wp:inline>
        </w:drawing>
      </w:r>
    </w:p>
    <w:p w14:paraId="5382DF15" w14:textId="7D99B6B0" w:rsidR="00805361" w:rsidRDefault="00805361" w:rsidP="006A5CD0">
      <w:pPr>
        <w:pStyle w:val="Default"/>
        <w:rPr>
          <w:b/>
          <w:bCs/>
          <w:sz w:val="32"/>
          <w:szCs w:val="32"/>
        </w:rPr>
      </w:pPr>
    </w:p>
    <w:p w14:paraId="2C518FC7" w14:textId="77777777" w:rsidR="006B3053" w:rsidRDefault="006B3053" w:rsidP="006A5CD0">
      <w:pPr>
        <w:pStyle w:val="Default"/>
        <w:rPr>
          <w:b/>
          <w:bCs/>
          <w:color w:val="1F3864" w:themeColor="accent1" w:themeShade="80"/>
          <w:sz w:val="32"/>
          <w:szCs w:val="32"/>
        </w:rPr>
      </w:pPr>
    </w:p>
    <w:p w14:paraId="1E1D7A46" w14:textId="6F65B805" w:rsidR="006A5CD0" w:rsidRDefault="006A5CD0" w:rsidP="006A5CD0">
      <w:pPr>
        <w:pStyle w:val="Default"/>
        <w:rPr>
          <w:b/>
          <w:bCs/>
          <w:color w:val="1F3864" w:themeColor="accent1" w:themeShade="80"/>
          <w:sz w:val="32"/>
          <w:szCs w:val="32"/>
        </w:rPr>
      </w:pPr>
      <w:r w:rsidRPr="00CC40FA">
        <w:rPr>
          <w:b/>
          <w:bCs/>
          <w:color w:val="1F3864" w:themeColor="accent1" w:themeShade="80"/>
          <w:sz w:val="32"/>
          <w:szCs w:val="32"/>
        </w:rPr>
        <w:t xml:space="preserve">Policing Professional Profile </w:t>
      </w:r>
    </w:p>
    <w:p w14:paraId="74495C4B" w14:textId="0CE87C20" w:rsidR="00CC40FA" w:rsidRDefault="00CC40FA" w:rsidP="00CC40FA">
      <w:pPr>
        <w:pStyle w:val="Default"/>
        <w:rPr>
          <w:b/>
          <w:bCs/>
          <w:color w:val="1F3864" w:themeColor="accent1" w:themeShade="80"/>
          <w:sz w:val="32"/>
          <w:szCs w:val="32"/>
        </w:rPr>
      </w:pPr>
      <w:r w:rsidRPr="00CC40FA">
        <w:rPr>
          <w:b/>
          <w:bCs/>
          <w:color w:val="1F3864" w:themeColor="accent1" w:themeShade="80"/>
          <w:sz w:val="32"/>
          <w:szCs w:val="32"/>
        </w:rPr>
        <w:t>Special Constable</w:t>
      </w:r>
    </w:p>
    <w:p w14:paraId="6CA2E9E6" w14:textId="06C5C48F" w:rsidR="00805361" w:rsidRDefault="00805361" w:rsidP="00CC40FA">
      <w:pPr>
        <w:pStyle w:val="Default"/>
        <w:rPr>
          <w:b/>
          <w:bCs/>
          <w:color w:val="1F3864" w:themeColor="accent1" w:themeShade="80"/>
          <w:sz w:val="32"/>
          <w:szCs w:val="32"/>
        </w:rPr>
      </w:pPr>
    </w:p>
    <w:tbl>
      <w:tblPr>
        <w:tblStyle w:val="TableGrid"/>
        <w:tblW w:w="9782" w:type="dxa"/>
        <w:tblInd w:w="-431" w:type="dxa"/>
        <w:tblLook w:val="04A0" w:firstRow="1" w:lastRow="0" w:firstColumn="1" w:lastColumn="0" w:noHBand="0" w:noVBand="1"/>
      </w:tblPr>
      <w:tblGrid>
        <w:gridCol w:w="3120"/>
        <w:gridCol w:w="6662"/>
      </w:tblGrid>
      <w:tr w:rsidR="00805361" w14:paraId="49F4C921" w14:textId="77777777" w:rsidTr="00571609">
        <w:tc>
          <w:tcPr>
            <w:tcW w:w="3120" w:type="dxa"/>
          </w:tcPr>
          <w:p w14:paraId="310BF689" w14:textId="7E87C3E1" w:rsidR="00805361" w:rsidRPr="00571609" w:rsidRDefault="00805361" w:rsidP="00CC40FA">
            <w:pPr>
              <w:pStyle w:val="Default"/>
              <w:rPr>
                <w:b/>
                <w:bCs/>
                <w:color w:val="1F3864" w:themeColor="accent1" w:themeShade="80"/>
                <w:sz w:val="28"/>
                <w:szCs w:val="28"/>
              </w:rPr>
            </w:pPr>
            <w:r w:rsidRPr="00571609">
              <w:rPr>
                <w:b/>
                <w:bCs/>
                <w:color w:val="1F3864" w:themeColor="accent1" w:themeShade="80"/>
                <w:sz w:val="28"/>
                <w:szCs w:val="28"/>
              </w:rPr>
              <w:t>Job Family:</w:t>
            </w:r>
          </w:p>
        </w:tc>
        <w:tc>
          <w:tcPr>
            <w:tcW w:w="6662" w:type="dxa"/>
          </w:tcPr>
          <w:p w14:paraId="32FDB425" w14:textId="53CC074E" w:rsidR="00805361" w:rsidRPr="006B3053" w:rsidRDefault="006B3053" w:rsidP="00CC40FA">
            <w:pPr>
              <w:pStyle w:val="Default"/>
              <w:rPr>
                <w:color w:val="1F3864" w:themeColor="accent1" w:themeShade="80"/>
              </w:rPr>
            </w:pPr>
            <w:r w:rsidRPr="006B3053">
              <w:t>Special Constabulary</w:t>
            </w:r>
          </w:p>
        </w:tc>
      </w:tr>
      <w:tr w:rsidR="00805361" w14:paraId="44F4C99A" w14:textId="77777777" w:rsidTr="00571609">
        <w:tc>
          <w:tcPr>
            <w:tcW w:w="3120" w:type="dxa"/>
          </w:tcPr>
          <w:p w14:paraId="4ED4E116" w14:textId="3A789F34" w:rsidR="00805361" w:rsidRPr="00571609" w:rsidRDefault="00805361" w:rsidP="00CC40FA">
            <w:pPr>
              <w:pStyle w:val="Default"/>
              <w:rPr>
                <w:b/>
                <w:bCs/>
                <w:color w:val="1F3864" w:themeColor="accent1" w:themeShade="80"/>
                <w:sz w:val="28"/>
                <w:szCs w:val="28"/>
              </w:rPr>
            </w:pPr>
            <w:r w:rsidRPr="00571609">
              <w:rPr>
                <w:b/>
                <w:bCs/>
                <w:color w:val="1F3864" w:themeColor="accent1" w:themeShade="80"/>
                <w:sz w:val="28"/>
                <w:szCs w:val="28"/>
              </w:rPr>
              <w:t>Level</w:t>
            </w:r>
            <w:r w:rsidR="00571609" w:rsidRPr="00571609">
              <w:rPr>
                <w:b/>
                <w:bCs/>
                <w:color w:val="1F3864" w:themeColor="accent1" w:themeShade="80"/>
                <w:sz w:val="28"/>
                <w:szCs w:val="28"/>
              </w:rPr>
              <w:t>:</w:t>
            </w:r>
          </w:p>
        </w:tc>
        <w:tc>
          <w:tcPr>
            <w:tcW w:w="6662" w:type="dxa"/>
          </w:tcPr>
          <w:p w14:paraId="57CBEA9F" w14:textId="159083CD" w:rsidR="00805361" w:rsidRPr="00CB242C" w:rsidRDefault="00E96B9E" w:rsidP="00CC40FA">
            <w:pPr>
              <w:pStyle w:val="Default"/>
              <w:rPr>
                <w:b/>
                <w:bCs/>
                <w:color w:val="1F3864" w:themeColor="accent1" w:themeShade="80"/>
              </w:rPr>
            </w:pPr>
            <w:r w:rsidRPr="00CB242C">
              <w:t>Service Deliverer</w:t>
            </w:r>
          </w:p>
        </w:tc>
      </w:tr>
    </w:tbl>
    <w:p w14:paraId="7C4ABB97" w14:textId="409EAE79" w:rsidR="00805361" w:rsidRDefault="00805361" w:rsidP="00CC40FA">
      <w:pPr>
        <w:pStyle w:val="Default"/>
        <w:rPr>
          <w:b/>
          <w:bCs/>
          <w:color w:val="1F3864" w:themeColor="accent1" w:themeShade="80"/>
          <w:sz w:val="32"/>
          <w:szCs w:val="32"/>
        </w:rPr>
      </w:pPr>
    </w:p>
    <w:tbl>
      <w:tblPr>
        <w:tblStyle w:val="TableGrid"/>
        <w:tblW w:w="9782" w:type="dxa"/>
        <w:tblInd w:w="-431" w:type="dxa"/>
        <w:tblLook w:val="04A0" w:firstRow="1" w:lastRow="0" w:firstColumn="1" w:lastColumn="0" w:noHBand="0" w:noVBand="1"/>
      </w:tblPr>
      <w:tblGrid>
        <w:gridCol w:w="9782"/>
      </w:tblGrid>
      <w:tr w:rsidR="00E96B9E" w14:paraId="35177A5C" w14:textId="77777777" w:rsidTr="00571609">
        <w:tc>
          <w:tcPr>
            <w:tcW w:w="9782" w:type="dxa"/>
          </w:tcPr>
          <w:p w14:paraId="238F6269" w14:textId="77777777" w:rsidR="002A2992" w:rsidRDefault="00E96B9E" w:rsidP="00CC40FA">
            <w:pPr>
              <w:pStyle w:val="Default"/>
              <w:rPr>
                <w:b/>
                <w:bCs/>
                <w:color w:val="1F3864" w:themeColor="accent1" w:themeShade="80"/>
                <w:sz w:val="32"/>
                <w:szCs w:val="32"/>
              </w:rPr>
            </w:pPr>
            <w:r w:rsidRPr="00571609">
              <w:rPr>
                <w:b/>
                <w:bCs/>
                <w:color w:val="1F3864" w:themeColor="accent1" w:themeShade="80"/>
                <w:sz w:val="28"/>
                <w:szCs w:val="28"/>
              </w:rPr>
              <w:t>Role Purpose</w:t>
            </w:r>
            <w:r w:rsidRPr="00571609">
              <w:rPr>
                <w:b/>
                <w:bCs/>
                <w:color w:val="1F3864" w:themeColor="accent1" w:themeShade="80"/>
                <w:sz w:val="32"/>
                <w:szCs w:val="32"/>
              </w:rPr>
              <w:t xml:space="preserve"> </w:t>
            </w:r>
          </w:p>
          <w:p w14:paraId="4C8C153C" w14:textId="08EDBD9A" w:rsidR="00E96B9E" w:rsidRPr="00571609" w:rsidRDefault="00E96B9E" w:rsidP="00CC40FA">
            <w:pPr>
              <w:pStyle w:val="Default"/>
              <w:rPr>
                <w:b/>
                <w:bCs/>
                <w:color w:val="1F3864" w:themeColor="accent1" w:themeShade="80"/>
                <w:sz w:val="32"/>
                <w:szCs w:val="32"/>
              </w:rPr>
            </w:pPr>
            <w:r w:rsidRPr="00846299">
              <w:rPr>
                <w:b/>
                <w:bCs/>
                <w:i/>
                <w:iCs/>
                <w:color w:val="1F3864" w:themeColor="accent1" w:themeShade="80"/>
                <w:sz w:val="22"/>
                <w:szCs w:val="22"/>
              </w:rPr>
              <w:t>(This section summarises the key function of the role)</w:t>
            </w:r>
          </w:p>
        </w:tc>
      </w:tr>
      <w:tr w:rsidR="00E96B9E" w14:paraId="72431F56" w14:textId="77777777" w:rsidTr="00571609">
        <w:tc>
          <w:tcPr>
            <w:tcW w:w="9782" w:type="dxa"/>
          </w:tcPr>
          <w:p w14:paraId="4A4EA487" w14:textId="4E545E70" w:rsidR="00E96B9E" w:rsidRDefault="00E96B9E" w:rsidP="00E96B9E">
            <w:pPr>
              <w:pStyle w:val="Default"/>
            </w:pPr>
            <w:r w:rsidRPr="00E96B9E">
              <w:t xml:space="preserve">Special Constables work on a voluntary basis at the front-line of policing and the criminal justice system. They work in partnership on a day-to-day basis with local communities, stakeholders and colleagues to promote law and order, reduce the fear of crime, provide reassurance and build confidence to improve the quality of life for citizens. </w:t>
            </w:r>
          </w:p>
          <w:p w14:paraId="0425EE5B" w14:textId="77777777" w:rsidR="00571609" w:rsidRPr="00E96B9E" w:rsidRDefault="00571609" w:rsidP="00E96B9E">
            <w:pPr>
              <w:pStyle w:val="Default"/>
            </w:pPr>
          </w:p>
          <w:p w14:paraId="460AB2EC" w14:textId="3E35C9C3" w:rsidR="00E96B9E" w:rsidRDefault="00E96B9E" w:rsidP="00E96B9E">
            <w:pPr>
              <w:pStyle w:val="Default"/>
            </w:pPr>
            <w:r w:rsidRPr="00E96B9E">
              <w:t xml:space="preserve">This role carries the same legal powers as a Police Constable, making autonomous decisions in accordance with the National Decision Model and Code of Ethics, and exercising professional discretion, as appropriate to the role, in line with legal frameworks and policy guidelines. </w:t>
            </w:r>
          </w:p>
          <w:p w14:paraId="308A1A3A" w14:textId="77777777" w:rsidR="00571609" w:rsidRPr="00E96B9E" w:rsidRDefault="00571609" w:rsidP="00E96B9E">
            <w:pPr>
              <w:pStyle w:val="Default"/>
            </w:pPr>
          </w:p>
          <w:p w14:paraId="3E117CD3" w14:textId="77777777" w:rsidR="00E96B9E" w:rsidRDefault="00E96B9E" w:rsidP="00E96B9E">
            <w:pPr>
              <w:pStyle w:val="Default"/>
            </w:pPr>
            <w:r w:rsidRPr="00E96B9E">
              <w:t>Special Constables are required to meet and maintain the highest professional standards required of their role, by conducting all actions in a legal, balanced, proportionate and justifiable manner to uphold the law and achieve the best outcomes in a wide range of situations/incidents.</w:t>
            </w:r>
          </w:p>
          <w:p w14:paraId="3ABCDA33" w14:textId="77777777" w:rsidR="00ED0EEA" w:rsidRDefault="00ED0EEA" w:rsidP="00E96B9E">
            <w:pPr>
              <w:pStyle w:val="Default"/>
              <w:rPr>
                <w:b/>
                <w:bCs/>
              </w:rPr>
            </w:pPr>
          </w:p>
          <w:p w14:paraId="2455FBDD" w14:textId="301F3CD1" w:rsidR="00ED0EEA" w:rsidRPr="00ED0EEA" w:rsidRDefault="00ED0EEA" w:rsidP="00ED0EEA">
            <w:pPr>
              <w:rPr>
                <w:rFonts w:ascii="Arial" w:hAnsi="Arial" w:cs="Arial"/>
                <w:color w:val="000000"/>
                <w:sz w:val="24"/>
                <w:szCs w:val="24"/>
              </w:rPr>
            </w:pPr>
            <w:r w:rsidRPr="00ED0EEA">
              <w:rPr>
                <w:rFonts w:ascii="Arial" w:hAnsi="Arial" w:cs="Arial"/>
                <w:color w:val="000000"/>
                <w:sz w:val="24"/>
                <w:szCs w:val="24"/>
              </w:rPr>
              <w:t xml:space="preserve">Special Constables commence within Response or Neighbourhood Teams and may move to specialise in other areas such as Operations - Roads Policing, Crime - Local Investigation and Criminal Justice. </w:t>
            </w:r>
            <w:r>
              <w:rPr>
                <w:rFonts w:ascii="Arial" w:hAnsi="Arial" w:cs="Arial"/>
                <w:color w:val="000000"/>
                <w:sz w:val="24"/>
                <w:szCs w:val="24"/>
              </w:rPr>
              <w:t xml:space="preserve"> There may also be opportunity to progress into a supervisory role.</w:t>
            </w:r>
          </w:p>
          <w:p w14:paraId="60BDF3E9" w14:textId="11AC11B3" w:rsidR="00ED0EEA" w:rsidRDefault="00ED0EEA" w:rsidP="00E96B9E">
            <w:pPr>
              <w:pStyle w:val="Default"/>
              <w:rPr>
                <w:b/>
                <w:bCs/>
                <w:color w:val="1F3864" w:themeColor="accent1" w:themeShade="80"/>
                <w:sz w:val="32"/>
                <w:szCs w:val="32"/>
              </w:rPr>
            </w:pPr>
          </w:p>
        </w:tc>
      </w:tr>
    </w:tbl>
    <w:p w14:paraId="22982E5A" w14:textId="1A634BB2" w:rsidR="00E96B9E" w:rsidRDefault="00E96B9E" w:rsidP="00CC40FA">
      <w:pPr>
        <w:pStyle w:val="Default"/>
        <w:rPr>
          <w:b/>
          <w:bCs/>
          <w:color w:val="1F3864" w:themeColor="accent1" w:themeShade="80"/>
          <w:sz w:val="32"/>
          <w:szCs w:val="32"/>
        </w:rPr>
      </w:pPr>
    </w:p>
    <w:tbl>
      <w:tblPr>
        <w:tblStyle w:val="TableGrid"/>
        <w:tblW w:w="9782" w:type="dxa"/>
        <w:tblInd w:w="-431" w:type="dxa"/>
        <w:tblLook w:val="04A0" w:firstRow="1" w:lastRow="0" w:firstColumn="1" w:lastColumn="0" w:noHBand="0" w:noVBand="1"/>
      </w:tblPr>
      <w:tblGrid>
        <w:gridCol w:w="9782"/>
      </w:tblGrid>
      <w:tr w:rsidR="00E96B9E" w:rsidRPr="00571609" w14:paraId="309BA72B" w14:textId="77777777" w:rsidTr="00571609">
        <w:tc>
          <w:tcPr>
            <w:tcW w:w="9782" w:type="dxa"/>
          </w:tcPr>
          <w:p w14:paraId="559D0E23" w14:textId="77777777" w:rsidR="00E96B9E" w:rsidRPr="001C2C9B" w:rsidRDefault="00E96B9E" w:rsidP="00E96B9E">
            <w:pPr>
              <w:pStyle w:val="Default"/>
              <w:rPr>
                <w:b/>
                <w:bCs/>
                <w:i/>
                <w:iCs/>
                <w:color w:val="1F3864" w:themeColor="accent1" w:themeShade="80"/>
                <w:sz w:val="28"/>
                <w:szCs w:val="28"/>
              </w:rPr>
            </w:pPr>
            <w:r w:rsidRPr="001C2C9B">
              <w:rPr>
                <w:b/>
                <w:bCs/>
                <w:i/>
                <w:iCs/>
                <w:color w:val="1F3864" w:themeColor="accent1" w:themeShade="80"/>
                <w:sz w:val="28"/>
                <w:szCs w:val="28"/>
              </w:rPr>
              <w:t xml:space="preserve">Key Accountabilities </w:t>
            </w:r>
          </w:p>
          <w:p w14:paraId="27242491" w14:textId="05343407" w:rsidR="00E96B9E" w:rsidRPr="001C2C9B" w:rsidRDefault="00E96B9E" w:rsidP="00E96B9E">
            <w:pPr>
              <w:pStyle w:val="Default"/>
              <w:rPr>
                <w:b/>
                <w:bCs/>
                <w:i/>
                <w:iCs/>
                <w:color w:val="1F3864" w:themeColor="accent1" w:themeShade="80"/>
                <w:sz w:val="22"/>
                <w:szCs w:val="22"/>
              </w:rPr>
            </w:pPr>
            <w:r w:rsidRPr="001C2C9B">
              <w:rPr>
                <w:b/>
                <w:bCs/>
                <w:i/>
                <w:iCs/>
                <w:color w:val="1F3864" w:themeColor="accent1" w:themeShade="80"/>
                <w:sz w:val="22"/>
                <w:szCs w:val="22"/>
              </w:rPr>
              <w:t>(This section details the key responsibilities required of the role)</w:t>
            </w:r>
          </w:p>
        </w:tc>
      </w:tr>
      <w:tr w:rsidR="00E96B9E" w14:paraId="78FDDE7B" w14:textId="77777777" w:rsidTr="00571609">
        <w:tc>
          <w:tcPr>
            <w:tcW w:w="9782" w:type="dxa"/>
          </w:tcPr>
          <w:p w14:paraId="2B40EB40" w14:textId="77777777" w:rsidR="00E96B9E" w:rsidRPr="00CB242C" w:rsidRDefault="00E96B9E" w:rsidP="002A2992">
            <w:pPr>
              <w:pStyle w:val="Default"/>
              <w:numPr>
                <w:ilvl w:val="0"/>
                <w:numId w:val="7"/>
              </w:numPr>
            </w:pPr>
            <w:r w:rsidRPr="00CB242C">
              <w:t xml:space="preserve">Provide appropriate initial and ongoing frontline response to a wide range of incidents that include complex and confrontational situations, assessing immediate risk, threat and harm to determine a proportionate response in line with the law, policy and guidance. </w:t>
            </w:r>
          </w:p>
          <w:p w14:paraId="748DB051" w14:textId="77777777" w:rsidR="00E96B9E" w:rsidRPr="00CB242C" w:rsidRDefault="00E96B9E" w:rsidP="00E96B9E">
            <w:pPr>
              <w:pStyle w:val="Default"/>
              <w:ind w:left="720"/>
            </w:pPr>
          </w:p>
          <w:p w14:paraId="7AB20ADC" w14:textId="77777777" w:rsidR="00E96B9E" w:rsidRPr="00CB242C" w:rsidRDefault="00E96B9E" w:rsidP="00E96B9E">
            <w:pPr>
              <w:pStyle w:val="Default"/>
              <w:numPr>
                <w:ilvl w:val="0"/>
                <w:numId w:val="2"/>
              </w:numPr>
            </w:pPr>
            <w:r w:rsidRPr="00CB242C">
              <w:t xml:space="preserve">Assist police colleagues in establishing effective localised partnerships to problem solve, engage with, reassure and support organisations, groups and individuals across communities in line with the Force’s planned approach. </w:t>
            </w:r>
          </w:p>
          <w:p w14:paraId="1B578872" w14:textId="77777777" w:rsidR="00E96B9E" w:rsidRPr="00CB242C" w:rsidRDefault="00E96B9E" w:rsidP="00E96B9E">
            <w:pPr>
              <w:pStyle w:val="ListParagraph"/>
              <w:rPr>
                <w:sz w:val="24"/>
                <w:szCs w:val="24"/>
              </w:rPr>
            </w:pPr>
          </w:p>
          <w:p w14:paraId="6F5F71AC" w14:textId="500597CA" w:rsidR="00E96B9E" w:rsidRDefault="00E96B9E" w:rsidP="004B0D8F">
            <w:pPr>
              <w:pStyle w:val="Default"/>
              <w:numPr>
                <w:ilvl w:val="0"/>
                <w:numId w:val="2"/>
              </w:numPr>
            </w:pPr>
            <w:r w:rsidRPr="00CB242C">
              <w:lastRenderedPageBreak/>
              <w:t xml:space="preserve">Effectively engage with victims, witnesses, suspects and the vulnerable, in accordance with equality, diversity and human rights considerations, to provide initial support, direct towards relevant services, establish relationships and gather information that prevents and reduces crimes. </w:t>
            </w:r>
          </w:p>
          <w:p w14:paraId="019CF9B4" w14:textId="77777777" w:rsidR="006B3053" w:rsidRPr="004B0D8F" w:rsidRDefault="006B3053" w:rsidP="006B3053">
            <w:pPr>
              <w:pStyle w:val="Default"/>
            </w:pPr>
          </w:p>
          <w:p w14:paraId="0D3841D4" w14:textId="77777777" w:rsidR="00E96B9E" w:rsidRPr="00CB242C" w:rsidRDefault="00E96B9E" w:rsidP="00E96B9E">
            <w:pPr>
              <w:pStyle w:val="Default"/>
              <w:numPr>
                <w:ilvl w:val="0"/>
                <w:numId w:val="2"/>
              </w:numPr>
            </w:pPr>
            <w:r w:rsidRPr="00CB242C">
              <w:t xml:space="preserve">Maintain awareness of potential and actual risks to individuals, taking appropriate action to protect and support those in need of public protection to pre-empt or effectively address safety / vulnerability issues. </w:t>
            </w:r>
          </w:p>
          <w:p w14:paraId="424228C0" w14:textId="77777777" w:rsidR="00E96B9E" w:rsidRPr="00CB242C" w:rsidRDefault="00E96B9E" w:rsidP="00E96B9E">
            <w:pPr>
              <w:pStyle w:val="ListParagraph"/>
              <w:rPr>
                <w:sz w:val="24"/>
                <w:szCs w:val="24"/>
              </w:rPr>
            </w:pPr>
          </w:p>
          <w:p w14:paraId="0AA6486B" w14:textId="3C008E8F" w:rsidR="00E96B9E" w:rsidRPr="00CB242C" w:rsidRDefault="00E96B9E" w:rsidP="00E96B9E">
            <w:pPr>
              <w:pStyle w:val="Default"/>
              <w:numPr>
                <w:ilvl w:val="0"/>
                <w:numId w:val="2"/>
              </w:numPr>
            </w:pPr>
            <w:r w:rsidRPr="00CB242C">
              <w:t xml:space="preserve">Make an effective contribution to investigations as requested, in line with the standards of investigation, to inform the development of </w:t>
            </w:r>
            <w:r w:rsidR="00571609" w:rsidRPr="00CB242C">
              <w:t>high-quality</w:t>
            </w:r>
            <w:r w:rsidRPr="00CB242C">
              <w:t xml:space="preserve"> case files and initiation of criminal justice proceedings.</w:t>
            </w:r>
          </w:p>
          <w:p w14:paraId="2834F775" w14:textId="77777777" w:rsidR="00E96B9E" w:rsidRPr="00CB242C" w:rsidRDefault="00E96B9E" w:rsidP="00E96B9E">
            <w:pPr>
              <w:pStyle w:val="ListParagraph"/>
              <w:rPr>
                <w:sz w:val="24"/>
                <w:szCs w:val="24"/>
              </w:rPr>
            </w:pPr>
          </w:p>
          <w:p w14:paraId="5159B5F6" w14:textId="77777777" w:rsidR="00E96B9E" w:rsidRPr="00CB242C" w:rsidRDefault="00E96B9E" w:rsidP="00E96B9E">
            <w:pPr>
              <w:pStyle w:val="Default"/>
              <w:numPr>
                <w:ilvl w:val="0"/>
                <w:numId w:val="2"/>
              </w:numPr>
            </w:pPr>
            <w:r w:rsidRPr="00CB242C">
              <w:t>Gather and handle information, intelligence, and evidence, from a variety of sources, in line with legislation, policies and guidance, taking the appropriate action to support investigations, law enforcement and criminal justice proceedings</w:t>
            </w:r>
          </w:p>
          <w:p w14:paraId="79A67D99" w14:textId="77777777" w:rsidR="00E96B9E" w:rsidRPr="00CB242C" w:rsidRDefault="00E96B9E" w:rsidP="00E96B9E">
            <w:pPr>
              <w:pStyle w:val="ListParagraph"/>
              <w:rPr>
                <w:sz w:val="24"/>
                <w:szCs w:val="24"/>
              </w:rPr>
            </w:pPr>
          </w:p>
          <w:p w14:paraId="64635528" w14:textId="17A4B96F" w:rsidR="00E96B9E" w:rsidRPr="00CB242C" w:rsidRDefault="00E96B9E" w:rsidP="00E96B9E">
            <w:pPr>
              <w:pStyle w:val="Default"/>
              <w:numPr>
                <w:ilvl w:val="0"/>
                <w:numId w:val="2"/>
              </w:numPr>
            </w:pPr>
            <w:r w:rsidRPr="00CB242C">
              <w:rPr>
                <w:color w:val="auto"/>
              </w:rPr>
              <w:t>Interview victims, witnesses and suspects in relation to appropriate crimes and investigations, to gather information that has the potential to support law enforcement objectives.</w:t>
            </w:r>
          </w:p>
          <w:p w14:paraId="51C6D9E3" w14:textId="77777777" w:rsidR="00E96B9E" w:rsidRPr="00CB242C" w:rsidRDefault="00E96B9E" w:rsidP="00E96B9E">
            <w:pPr>
              <w:pStyle w:val="ListParagraph"/>
              <w:rPr>
                <w:sz w:val="24"/>
                <w:szCs w:val="24"/>
              </w:rPr>
            </w:pPr>
          </w:p>
          <w:p w14:paraId="3B8135C1" w14:textId="35F269A5" w:rsidR="00E96B9E" w:rsidRPr="00CB242C" w:rsidRDefault="00E96B9E" w:rsidP="00E96B9E">
            <w:pPr>
              <w:pStyle w:val="Default"/>
              <w:numPr>
                <w:ilvl w:val="0"/>
                <w:numId w:val="2"/>
              </w:numPr>
            </w:pPr>
            <w:r w:rsidRPr="00CB242C">
              <w:rPr>
                <w:color w:val="auto"/>
              </w:rPr>
              <w:t>Conduct first line analysis of information, intelligence and evidence to determine significance, generate lines of enquiry, inform decision making and support evidence based policing</w:t>
            </w:r>
            <w:r w:rsidR="002A2992">
              <w:rPr>
                <w:color w:val="auto"/>
              </w:rPr>
              <w:t>.</w:t>
            </w:r>
          </w:p>
          <w:p w14:paraId="66F7F08C" w14:textId="77777777" w:rsidR="00E96B9E" w:rsidRPr="00CB242C" w:rsidRDefault="00E96B9E" w:rsidP="00E96B9E">
            <w:pPr>
              <w:pStyle w:val="ListParagraph"/>
              <w:rPr>
                <w:sz w:val="24"/>
                <w:szCs w:val="24"/>
              </w:rPr>
            </w:pPr>
          </w:p>
          <w:p w14:paraId="0984DBD4" w14:textId="2FCBBC27" w:rsidR="00E96B9E" w:rsidRPr="00CB242C" w:rsidRDefault="00E96B9E" w:rsidP="00E96B9E">
            <w:pPr>
              <w:pStyle w:val="Default"/>
              <w:numPr>
                <w:ilvl w:val="0"/>
                <w:numId w:val="2"/>
              </w:numPr>
            </w:pPr>
            <w:r w:rsidRPr="00CB242C">
              <w:t>Justify and professionally account for actions to ensure adherence to legal frameworks and key working principles, policies and guidance</w:t>
            </w:r>
            <w:r w:rsidR="002A2992">
              <w:t>.</w:t>
            </w:r>
          </w:p>
          <w:p w14:paraId="6F6E51BC" w14:textId="77777777" w:rsidR="00E96B9E" w:rsidRPr="00CB242C" w:rsidRDefault="00E96B9E" w:rsidP="00E96B9E">
            <w:pPr>
              <w:pStyle w:val="ListParagraph"/>
              <w:rPr>
                <w:sz w:val="24"/>
                <w:szCs w:val="24"/>
              </w:rPr>
            </w:pPr>
          </w:p>
          <w:p w14:paraId="73827924" w14:textId="35FDFC82" w:rsidR="00E96B9E" w:rsidRPr="00CB242C" w:rsidRDefault="00E96B9E" w:rsidP="00E96B9E">
            <w:pPr>
              <w:pStyle w:val="Default"/>
              <w:numPr>
                <w:ilvl w:val="0"/>
                <w:numId w:val="2"/>
              </w:numPr>
            </w:pPr>
            <w:r w:rsidRPr="00CB242C">
              <w:rPr>
                <w:color w:val="auto"/>
              </w:rPr>
              <w:t>Identify opportunities for and support the exploration of new ways of working and innovation in policing, applying critical thinking and problem solving methodologies to identify solutions to problems in line with evidence based practice within area of work</w:t>
            </w:r>
            <w:r w:rsidR="002A2992">
              <w:rPr>
                <w:color w:val="auto"/>
              </w:rPr>
              <w:t>.</w:t>
            </w:r>
          </w:p>
          <w:p w14:paraId="21BC35A3" w14:textId="77777777" w:rsidR="00E96B9E" w:rsidRPr="00CB242C" w:rsidRDefault="00E96B9E" w:rsidP="00E96B9E">
            <w:pPr>
              <w:pStyle w:val="ListParagraph"/>
              <w:rPr>
                <w:sz w:val="24"/>
                <w:szCs w:val="24"/>
              </w:rPr>
            </w:pPr>
          </w:p>
          <w:p w14:paraId="6CD8BC08" w14:textId="6BCCE6FC" w:rsidR="00846299" w:rsidRPr="00846299" w:rsidRDefault="00E96B9E" w:rsidP="00846299">
            <w:pPr>
              <w:pStyle w:val="Default"/>
              <w:numPr>
                <w:ilvl w:val="0"/>
                <w:numId w:val="2"/>
              </w:numPr>
            </w:pPr>
            <w:r w:rsidRPr="00CB242C">
              <w:rPr>
                <w:color w:val="auto"/>
              </w:rPr>
              <w:t>Support the implementation of problem solving and evidence based policing initiatives by applying relevant methodologies approaches to area of work</w:t>
            </w:r>
            <w:r w:rsidR="002A2992">
              <w:rPr>
                <w:color w:val="auto"/>
              </w:rPr>
              <w:t>.</w:t>
            </w:r>
          </w:p>
          <w:p w14:paraId="51B27811" w14:textId="77777777" w:rsidR="00846299" w:rsidRDefault="00846299" w:rsidP="00846299">
            <w:pPr>
              <w:pStyle w:val="ListParagraph"/>
            </w:pPr>
          </w:p>
          <w:p w14:paraId="22B47A15" w14:textId="2EC630A2" w:rsidR="00846299" w:rsidRPr="00ED0EEA" w:rsidRDefault="00846299" w:rsidP="00846299">
            <w:pPr>
              <w:pStyle w:val="Default"/>
              <w:numPr>
                <w:ilvl w:val="0"/>
                <w:numId w:val="2"/>
              </w:numPr>
              <w:rPr>
                <w:color w:val="auto"/>
              </w:rPr>
            </w:pPr>
            <w:r w:rsidRPr="00ED0EEA">
              <w:rPr>
                <w:color w:val="auto"/>
              </w:rPr>
              <w:t>Maintain a personal learning portfolio to record evidence to support the assessment of personal competence and progress towards achievement of accompanied patrol status (mandatory for all S</w:t>
            </w:r>
            <w:r w:rsidR="00131708" w:rsidRPr="00ED0EEA">
              <w:rPr>
                <w:color w:val="auto"/>
              </w:rPr>
              <w:t>pecial Constables</w:t>
            </w:r>
            <w:r w:rsidRPr="00ED0EEA">
              <w:rPr>
                <w:color w:val="auto"/>
              </w:rPr>
              <w:t>) and independent patrol status (mandatory for supervisors)</w:t>
            </w:r>
            <w:r w:rsidR="002A2992" w:rsidRPr="00ED0EEA">
              <w:rPr>
                <w:color w:val="auto"/>
              </w:rPr>
              <w:t>.</w:t>
            </w:r>
            <w:r w:rsidRPr="00ED0EEA">
              <w:rPr>
                <w:color w:val="auto"/>
              </w:rPr>
              <w:t xml:space="preserve"> </w:t>
            </w:r>
          </w:p>
          <w:p w14:paraId="0857C259" w14:textId="77777777" w:rsidR="00846299" w:rsidRPr="00CB242C" w:rsidRDefault="00846299" w:rsidP="00846299">
            <w:pPr>
              <w:pStyle w:val="Default"/>
            </w:pPr>
          </w:p>
          <w:p w14:paraId="32E3DEB4" w14:textId="77777777" w:rsidR="004B0D8F" w:rsidRDefault="004B0D8F" w:rsidP="00E96B9E">
            <w:pPr>
              <w:pStyle w:val="Default"/>
              <w:rPr>
                <w:sz w:val="22"/>
                <w:szCs w:val="22"/>
              </w:rPr>
            </w:pPr>
          </w:p>
          <w:p w14:paraId="4FEC46C4" w14:textId="77777777" w:rsidR="004B0D8F" w:rsidRDefault="004B0D8F" w:rsidP="00E96B9E">
            <w:pPr>
              <w:pStyle w:val="Default"/>
              <w:rPr>
                <w:sz w:val="22"/>
                <w:szCs w:val="22"/>
              </w:rPr>
            </w:pPr>
          </w:p>
          <w:p w14:paraId="28DB195C" w14:textId="77777777" w:rsidR="004B0D8F" w:rsidRDefault="004B0D8F" w:rsidP="00E96B9E">
            <w:pPr>
              <w:pStyle w:val="Default"/>
              <w:rPr>
                <w:sz w:val="22"/>
                <w:szCs w:val="22"/>
              </w:rPr>
            </w:pPr>
          </w:p>
          <w:p w14:paraId="6027A56A" w14:textId="77777777" w:rsidR="004B0D8F" w:rsidRDefault="004B0D8F" w:rsidP="00E96B9E">
            <w:pPr>
              <w:pStyle w:val="Default"/>
              <w:rPr>
                <w:sz w:val="22"/>
                <w:szCs w:val="22"/>
              </w:rPr>
            </w:pPr>
          </w:p>
          <w:p w14:paraId="5E68E3F4" w14:textId="78689BA3" w:rsidR="004B0D8F" w:rsidRPr="00E96B9E" w:rsidRDefault="004B0D8F" w:rsidP="00E96B9E">
            <w:pPr>
              <w:pStyle w:val="Default"/>
              <w:rPr>
                <w:sz w:val="22"/>
                <w:szCs w:val="22"/>
              </w:rPr>
            </w:pPr>
          </w:p>
        </w:tc>
      </w:tr>
    </w:tbl>
    <w:p w14:paraId="6E5BBB03" w14:textId="486B3365" w:rsidR="00E96B9E" w:rsidRDefault="00E96B9E" w:rsidP="00CC40FA">
      <w:pPr>
        <w:pStyle w:val="Default"/>
        <w:rPr>
          <w:b/>
          <w:bCs/>
          <w:color w:val="1F3864" w:themeColor="accent1" w:themeShade="80"/>
          <w:sz w:val="32"/>
          <w:szCs w:val="32"/>
        </w:rPr>
      </w:pPr>
    </w:p>
    <w:p w14:paraId="539F80D5" w14:textId="291E4EBC" w:rsidR="006B3053" w:rsidRDefault="006B3053" w:rsidP="00CC40FA">
      <w:pPr>
        <w:pStyle w:val="Default"/>
        <w:rPr>
          <w:b/>
          <w:bCs/>
          <w:color w:val="1F3864" w:themeColor="accent1" w:themeShade="80"/>
          <w:sz w:val="32"/>
          <w:szCs w:val="32"/>
        </w:rPr>
      </w:pPr>
    </w:p>
    <w:p w14:paraId="0ABF5698" w14:textId="6969C5F4" w:rsidR="006B3053" w:rsidRDefault="006B3053" w:rsidP="00CC40FA">
      <w:pPr>
        <w:pStyle w:val="Default"/>
        <w:rPr>
          <w:b/>
          <w:bCs/>
          <w:color w:val="1F3864" w:themeColor="accent1" w:themeShade="80"/>
          <w:sz w:val="32"/>
          <w:szCs w:val="32"/>
        </w:rPr>
      </w:pPr>
    </w:p>
    <w:p w14:paraId="19DC1F73" w14:textId="77777777" w:rsidR="006B3053" w:rsidRDefault="006B3053" w:rsidP="00CC40FA">
      <w:pPr>
        <w:pStyle w:val="Default"/>
        <w:rPr>
          <w:b/>
          <w:bCs/>
          <w:color w:val="1F3864" w:themeColor="accent1" w:themeShade="80"/>
          <w:sz w:val="32"/>
          <w:szCs w:val="32"/>
        </w:rPr>
      </w:pPr>
    </w:p>
    <w:tbl>
      <w:tblPr>
        <w:tblStyle w:val="TableGrid"/>
        <w:tblW w:w="9782" w:type="dxa"/>
        <w:tblInd w:w="-431" w:type="dxa"/>
        <w:tblLook w:val="04A0" w:firstRow="1" w:lastRow="0" w:firstColumn="1" w:lastColumn="0" w:noHBand="0" w:noVBand="1"/>
      </w:tblPr>
      <w:tblGrid>
        <w:gridCol w:w="4939"/>
        <w:gridCol w:w="4843"/>
      </w:tblGrid>
      <w:tr w:rsidR="001C2C9B" w14:paraId="6D131726" w14:textId="77777777" w:rsidTr="007E3FE4">
        <w:tc>
          <w:tcPr>
            <w:tcW w:w="9782" w:type="dxa"/>
            <w:gridSpan w:val="2"/>
          </w:tcPr>
          <w:p w14:paraId="3F7BEAF9" w14:textId="77777777" w:rsidR="001C2C9B" w:rsidRPr="001C2C9B" w:rsidRDefault="001C2C9B" w:rsidP="001C2C9B">
            <w:pPr>
              <w:pStyle w:val="Default"/>
              <w:rPr>
                <w:b/>
                <w:bCs/>
                <w:color w:val="1F3864" w:themeColor="accent1" w:themeShade="80"/>
                <w:sz w:val="32"/>
                <w:szCs w:val="32"/>
              </w:rPr>
            </w:pPr>
            <w:r w:rsidRPr="001C2C9B">
              <w:rPr>
                <w:b/>
                <w:bCs/>
                <w:color w:val="1F3864" w:themeColor="accent1" w:themeShade="80"/>
                <w:sz w:val="32"/>
                <w:szCs w:val="32"/>
              </w:rPr>
              <w:lastRenderedPageBreak/>
              <w:t xml:space="preserve">Behaviours </w:t>
            </w:r>
          </w:p>
          <w:p w14:paraId="419ADCBD" w14:textId="567529FB" w:rsidR="001C2C9B" w:rsidRPr="001C2C9B" w:rsidRDefault="001C2C9B" w:rsidP="001C2C9B">
            <w:pPr>
              <w:pStyle w:val="Default"/>
              <w:rPr>
                <w:b/>
                <w:bCs/>
                <w:i/>
                <w:iCs/>
                <w:color w:val="1F3864" w:themeColor="accent1" w:themeShade="80"/>
                <w:sz w:val="22"/>
                <w:szCs w:val="22"/>
              </w:rPr>
            </w:pPr>
            <w:r w:rsidRPr="001C2C9B">
              <w:rPr>
                <w:b/>
                <w:bCs/>
                <w:i/>
                <w:iCs/>
                <w:color w:val="1F3864" w:themeColor="accent1" w:themeShade="80"/>
                <w:sz w:val="22"/>
                <w:szCs w:val="22"/>
              </w:rPr>
              <w:t>(Outlines the behavioural requirements of the role)</w:t>
            </w:r>
            <w:r w:rsidRPr="001C2C9B">
              <w:rPr>
                <w:i/>
                <w:iCs/>
                <w:sz w:val="22"/>
                <w:szCs w:val="22"/>
              </w:rPr>
              <w:t xml:space="preserve"> </w:t>
            </w:r>
          </w:p>
        </w:tc>
      </w:tr>
      <w:tr w:rsidR="001C2C9B" w14:paraId="58D31273" w14:textId="77777777" w:rsidTr="001C69B6">
        <w:tc>
          <w:tcPr>
            <w:tcW w:w="9782" w:type="dxa"/>
            <w:gridSpan w:val="2"/>
          </w:tcPr>
          <w:p w14:paraId="15630DD4" w14:textId="4649F814" w:rsidR="001C2C9B" w:rsidRDefault="001C2C9B" w:rsidP="001C2C9B">
            <w:pPr>
              <w:pStyle w:val="Default"/>
            </w:pPr>
            <w:r w:rsidRPr="001C2C9B">
              <w:t xml:space="preserve">All roles are expected to know, understand and act within the ethics and values of the Police Service. </w:t>
            </w:r>
          </w:p>
          <w:p w14:paraId="7270BD87" w14:textId="77777777" w:rsidR="00CB242C" w:rsidRPr="001C2C9B" w:rsidRDefault="00CB242C" w:rsidP="001C2C9B">
            <w:pPr>
              <w:pStyle w:val="Default"/>
            </w:pPr>
          </w:p>
          <w:p w14:paraId="14162C53" w14:textId="6A23D482" w:rsidR="001C2C9B" w:rsidRDefault="001C2C9B" w:rsidP="001C2C9B">
            <w:pPr>
              <w:pStyle w:val="Default"/>
            </w:pPr>
            <w:r w:rsidRPr="001C2C9B">
              <w:t xml:space="preserve">The Competency and Values Framework (CVF) has six competencies that are clustered into three groups. Under each competency are three levels that show what behaviours will look like in practice. </w:t>
            </w:r>
          </w:p>
          <w:p w14:paraId="7B9C802D" w14:textId="77777777" w:rsidR="00CB242C" w:rsidRPr="001C2C9B" w:rsidRDefault="00CB242C" w:rsidP="001C2C9B">
            <w:pPr>
              <w:pStyle w:val="Default"/>
            </w:pPr>
          </w:p>
          <w:p w14:paraId="397241AA" w14:textId="77777777" w:rsidR="001C2C9B" w:rsidRDefault="001C2C9B" w:rsidP="001C2C9B">
            <w:pPr>
              <w:pStyle w:val="Default"/>
              <w:rPr>
                <w:sz w:val="22"/>
                <w:szCs w:val="22"/>
              </w:rPr>
            </w:pPr>
            <w:r w:rsidRPr="001C2C9B">
              <w:t>It is suggested that this role should be operating or working towards the following levels:</w:t>
            </w:r>
            <w:r>
              <w:rPr>
                <w:sz w:val="22"/>
                <w:szCs w:val="22"/>
              </w:rPr>
              <w:t xml:space="preserve"> </w:t>
            </w:r>
          </w:p>
          <w:p w14:paraId="1975D758" w14:textId="0782A14A" w:rsidR="00CB242C" w:rsidRDefault="00CB242C" w:rsidP="001C2C9B">
            <w:pPr>
              <w:pStyle w:val="Default"/>
              <w:rPr>
                <w:b/>
                <w:bCs/>
                <w:color w:val="1F3864" w:themeColor="accent1" w:themeShade="80"/>
                <w:sz w:val="32"/>
                <w:szCs w:val="32"/>
              </w:rPr>
            </w:pPr>
          </w:p>
        </w:tc>
      </w:tr>
      <w:tr w:rsidR="00390FBB" w14:paraId="69A2E9F7" w14:textId="77777777" w:rsidTr="00C50EAA">
        <w:tc>
          <w:tcPr>
            <w:tcW w:w="9782" w:type="dxa"/>
            <w:gridSpan w:val="2"/>
          </w:tcPr>
          <w:p w14:paraId="529588D2" w14:textId="77777777" w:rsidR="00390FBB" w:rsidRDefault="00390FBB" w:rsidP="00CC40FA">
            <w:pPr>
              <w:pStyle w:val="Default"/>
              <w:rPr>
                <w:b/>
                <w:bCs/>
                <w:color w:val="1F3864" w:themeColor="accent1" w:themeShade="80"/>
              </w:rPr>
            </w:pPr>
            <w:r w:rsidRPr="00CB242C">
              <w:rPr>
                <w:b/>
                <w:bCs/>
                <w:color w:val="1F3864" w:themeColor="accent1" w:themeShade="80"/>
              </w:rPr>
              <w:t xml:space="preserve">Resolute, compassionate and committed </w:t>
            </w:r>
          </w:p>
          <w:p w14:paraId="6DD6EF30" w14:textId="04447DAA" w:rsidR="002A2992" w:rsidRPr="00CB242C" w:rsidRDefault="002A2992" w:rsidP="00CC40FA">
            <w:pPr>
              <w:pStyle w:val="Default"/>
              <w:rPr>
                <w:b/>
                <w:bCs/>
                <w:color w:val="1F3864" w:themeColor="accent1" w:themeShade="80"/>
              </w:rPr>
            </w:pPr>
          </w:p>
        </w:tc>
      </w:tr>
      <w:tr w:rsidR="001C2C9B" w14:paraId="1D4F5483" w14:textId="77777777" w:rsidTr="00CB242C">
        <w:tc>
          <w:tcPr>
            <w:tcW w:w="4939" w:type="dxa"/>
          </w:tcPr>
          <w:p w14:paraId="24CDA5D2" w14:textId="77777777" w:rsidR="001C2C9B" w:rsidRPr="00CB242C" w:rsidRDefault="001C2C9B" w:rsidP="001C2C9B">
            <w:pPr>
              <w:pStyle w:val="Default"/>
            </w:pPr>
            <w:r w:rsidRPr="00CB242C">
              <w:t xml:space="preserve">We are emotionally aware </w:t>
            </w:r>
          </w:p>
          <w:p w14:paraId="29F6875E" w14:textId="77777777" w:rsidR="001C2C9B" w:rsidRPr="00CB242C" w:rsidRDefault="001C2C9B" w:rsidP="00CC40FA">
            <w:pPr>
              <w:pStyle w:val="Default"/>
              <w:rPr>
                <w:b/>
                <w:bCs/>
                <w:color w:val="1F3864" w:themeColor="accent1" w:themeShade="80"/>
              </w:rPr>
            </w:pPr>
          </w:p>
        </w:tc>
        <w:tc>
          <w:tcPr>
            <w:tcW w:w="4843" w:type="dxa"/>
            <w:shd w:val="clear" w:color="auto" w:fill="FFFFFF" w:themeFill="background1"/>
          </w:tcPr>
          <w:p w14:paraId="71B3E46E" w14:textId="67C17411" w:rsidR="001C2C9B" w:rsidRPr="00CB242C" w:rsidRDefault="001C2C9B" w:rsidP="00CC40FA">
            <w:pPr>
              <w:pStyle w:val="Default"/>
              <w:rPr>
                <w:b/>
                <w:bCs/>
                <w:color w:val="1F3864" w:themeColor="accent1" w:themeShade="80"/>
              </w:rPr>
            </w:pPr>
            <w:r w:rsidRPr="00CB242C">
              <w:t>Level 1</w:t>
            </w:r>
          </w:p>
        </w:tc>
      </w:tr>
      <w:tr w:rsidR="001C2C9B" w14:paraId="17893213" w14:textId="77777777" w:rsidTr="00CB242C">
        <w:tc>
          <w:tcPr>
            <w:tcW w:w="4939" w:type="dxa"/>
          </w:tcPr>
          <w:p w14:paraId="35CA1AFC" w14:textId="77777777" w:rsidR="001C2C9B" w:rsidRPr="00CB242C" w:rsidRDefault="001C2C9B" w:rsidP="001C2C9B">
            <w:pPr>
              <w:pStyle w:val="Default"/>
            </w:pPr>
            <w:r w:rsidRPr="00CB242C">
              <w:t xml:space="preserve">We take ownership </w:t>
            </w:r>
          </w:p>
          <w:p w14:paraId="0769E582" w14:textId="77777777" w:rsidR="001C2C9B" w:rsidRPr="00CB242C" w:rsidRDefault="001C2C9B" w:rsidP="00CC40FA">
            <w:pPr>
              <w:pStyle w:val="Default"/>
              <w:rPr>
                <w:b/>
                <w:bCs/>
                <w:color w:val="1F3864" w:themeColor="accent1" w:themeShade="80"/>
              </w:rPr>
            </w:pPr>
          </w:p>
        </w:tc>
        <w:tc>
          <w:tcPr>
            <w:tcW w:w="4843" w:type="dxa"/>
            <w:shd w:val="clear" w:color="auto" w:fill="FFFFFF" w:themeFill="background1"/>
          </w:tcPr>
          <w:p w14:paraId="04965D62" w14:textId="6DD704A6" w:rsidR="001C2C9B" w:rsidRPr="00CB242C" w:rsidRDefault="001C2C9B" w:rsidP="00CC40FA">
            <w:pPr>
              <w:pStyle w:val="Default"/>
              <w:rPr>
                <w:b/>
                <w:bCs/>
                <w:color w:val="1F3864" w:themeColor="accent1" w:themeShade="80"/>
              </w:rPr>
            </w:pPr>
            <w:r w:rsidRPr="00CB242C">
              <w:t>Level 1</w:t>
            </w:r>
          </w:p>
        </w:tc>
      </w:tr>
      <w:tr w:rsidR="00390FBB" w14:paraId="429FC836" w14:textId="77777777" w:rsidTr="00841D4A">
        <w:tc>
          <w:tcPr>
            <w:tcW w:w="9782" w:type="dxa"/>
            <w:gridSpan w:val="2"/>
          </w:tcPr>
          <w:p w14:paraId="44B9C38E" w14:textId="77777777" w:rsidR="00390FBB" w:rsidRDefault="00390FBB" w:rsidP="00CC40FA">
            <w:pPr>
              <w:pStyle w:val="Default"/>
              <w:rPr>
                <w:b/>
                <w:bCs/>
              </w:rPr>
            </w:pPr>
            <w:r w:rsidRPr="00CB242C">
              <w:rPr>
                <w:b/>
                <w:bCs/>
                <w:color w:val="1F3864" w:themeColor="accent1" w:themeShade="80"/>
              </w:rPr>
              <w:t>Inclusive, enabling and visionary leadership</w:t>
            </w:r>
            <w:r w:rsidRPr="00CB242C">
              <w:rPr>
                <w:b/>
                <w:bCs/>
              </w:rPr>
              <w:t xml:space="preserve"> </w:t>
            </w:r>
          </w:p>
          <w:p w14:paraId="530003D4" w14:textId="4DAEC49E" w:rsidR="002A2992" w:rsidRPr="00CB242C" w:rsidRDefault="002A2992" w:rsidP="00CC40FA">
            <w:pPr>
              <w:pStyle w:val="Default"/>
              <w:rPr>
                <w:b/>
                <w:bCs/>
                <w:color w:val="1F3864" w:themeColor="accent1" w:themeShade="80"/>
              </w:rPr>
            </w:pPr>
          </w:p>
        </w:tc>
      </w:tr>
      <w:tr w:rsidR="001C2C9B" w14:paraId="38E8A28E" w14:textId="77777777" w:rsidTr="00CB242C">
        <w:trPr>
          <w:trHeight w:val="282"/>
        </w:trPr>
        <w:tc>
          <w:tcPr>
            <w:tcW w:w="4939" w:type="dxa"/>
          </w:tcPr>
          <w:p w14:paraId="06D0A48D" w14:textId="56ED68D0" w:rsidR="001C2C9B" w:rsidRPr="00CB242C" w:rsidRDefault="001C2C9B" w:rsidP="00CC40FA">
            <w:pPr>
              <w:pStyle w:val="Default"/>
            </w:pPr>
            <w:r w:rsidRPr="00CB242C">
              <w:t>We are collaborative</w:t>
            </w:r>
          </w:p>
        </w:tc>
        <w:tc>
          <w:tcPr>
            <w:tcW w:w="4843" w:type="dxa"/>
          </w:tcPr>
          <w:p w14:paraId="04FBDB0C" w14:textId="77777777" w:rsidR="001C2C9B" w:rsidRPr="00CB242C" w:rsidRDefault="001C2C9B" w:rsidP="001C2C9B">
            <w:pPr>
              <w:pStyle w:val="Default"/>
            </w:pPr>
            <w:r w:rsidRPr="00CB242C">
              <w:t xml:space="preserve">Level 1 </w:t>
            </w:r>
          </w:p>
          <w:p w14:paraId="0D455C0A" w14:textId="77777777" w:rsidR="001C2C9B" w:rsidRPr="00CB242C" w:rsidRDefault="001C2C9B" w:rsidP="00CC40FA">
            <w:pPr>
              <w:pStyle w:val="Default"/>
              <w:rPr>
                <w:b/>
                <w:bCs/>
                <w:color w:val="1F3864" w:themeColor="accent1" w:themeShade="80"/>
              </w:rPr>
            </w:pPr>
          </w:p>
        </w:tc>
      </w:tr>
      <w:tr w:rsidR="001C2C9B" w14:paraId="3AD0A07A" w14:textId="77777777" w:rsidTr="001C2C9B">
        <w:tc>
          <w:tcPr>
            <w:tcW w:w="4939" w:type="dxa"/>
          </w:tcPr>
          <w:p w14:paraId="2235581B" w14:textId="77777777" w:rsidR="00CB242C" w:rsidRDefault="00CB242C" w:rsidP="00CB242C">
            <w:pPr>
              <w:pStyle w:val="Default"/>
              <w:rPr>
                <w:sz w:val="22"/>
                <w:szCs w:val="22"/>
              </w:rPr>
            </w:pPr>
            <w:r>
              <w:rPr>
                <w:sz w:val="22"/>
                <w:szCs w:val="22"/>
              </w:rPr>
              <w:t xml:space="preserve">We deliver, support and inspire </w:t>
            </w:r>
          </w:p>
          <w:p w14:paraId="4FB100E5" w14:textId="77777777" w:rsidR="001C2C9B" w:rsidRPr="00CB242C" w:rsidRDefault="001C2C9B" w:rsidP="00CC40FA">
            <w:pPr>
              <w:pStyle w:val="Default"/>
              <w:rPr>
                <w:b/>
                <w:bCs/>
                <w:color w:val="1F3864" w:themeColor="accent1" w:themeShade="80"/>
              </w:rPr>
            </w:pPr>
          </w:p>
        </w:tc>
        <w:tc>
          <w:tcPr>
            <w:tcW w:w="4843" w:type="dxa"/>
          </w:tcPr>
          <w:p w14:paraId="31988225" w14:textId="77777777" w:rsidR="001C2C9B" w:rsidRPr="00CB242C" w:rsidRDefault="001C2C9B" w:rsidP="001C2C9B">
            <w:pPr>
              <w:pStyle w:val="Default"/>
            </w:pPr>
            <w:r w:rsidRPr="00CB242C">
              <w:t xml:space="preserve">Level 1 </w:t>
            </w:r>
          </w:p>
          <w:p w14:paraId="547C2CD4" w14:textId="77777777" w:rsidR="001C2C9B" w:rsidRPr="00CB242C" w:rsidRDefault="001C2C9B" w:rsidP="00CC40FA">
            <w:pPr>
              <w:pStyle w:val="Default"/>
              <w:rPr>
                <w:b/>
                <w:bCs/>
                <w:color w:val="1F3864" w:themeColor="accent1" w:themeShade="80"/>
              </w:rPr>
            </w:pPr>
          </w:p>
        </w:tc>
      </w:tr>
      <w:tr w:rsidR="00390FBB" w14:paraId="5317D916" w14:textId="77777777" w:rsidTr="00690491">
        <w:tc>
          <w:tcPr>
            <w:tcW w:w="9782" w:type="dxa"/>
            <w:gridSpan w:val="2"/>
          </w:tcPr>
          <w:p w14:paraId="1EEF82A2" w14:textId="77777777" w:rsidR="00390FBB" w:rsidRDefault="00390FBB" w:rsidP="00CC40FA">
            <w:pPr>
              <w:pStyle w:val="Default"/>
              <w:rPr>
                <w:b/>
                <w:bCs/>
              </w:rPr>
            </w:pPr>
            <w:r w:rsidRPr="00CB242C">
              <w:rPr>
                <w:b/>
                <w:bCs/>
                <w:color w:val="1F3864" w:themeColor="accent1" w:themeShade="80"/>
              </w:rPr>
              <w:t>Intelligent, creative and informed policing</w:t>
            </w:r>
            <w:r w:rsidRPr="00CB242C">
              <w:rPr>
                <w:b/>
                <w:bCs/>
              </w:rPr>
              <w:t xml:space="preserve"> </w:t>
            </w:r>
          </w:p>
          <w:p w14:paraId="24F7D7A0" w14:textId="258FF67B" w:rsidR="002A2992" w:rsidRPr="00CB242C" w:rsidRDefault="002A2992" w:rsidP="00CC40FA">
            <w:pPr>
              <w:pStyle w:val="Default"/>
              <w:rPr>
                <w:b/>
                <w:bCs/>
                <w:color w:val="1F3864" w:themeColor="accent1" w:themeShade="80"/>
              </w:rPr>
            </w:pPr>
          </w:p>
        </w:tc>
      </w:tr>
      <w:tr w:rsidR="001C2C9B" w14:paraId="6EDF6337" w14:textId="77777777" w:rsidTr="001C2C9B">
        <w:tc>
          <w:tcPr>
            <w:tcW w:w="4939" w:type="dxa"/>
          </w:tcPr>
          <w:p w14:paraId="2DA348F4" w14:textId="77777777" w:rsidR="001C2C9B" w:rsidRPr="00CB242C" w:rsidRDefault="001C2C9B" w:rsidP="001C2C9B">
            <w:pPr>
              <w:pStyle w:val="Default"/>
            </w:pPr>
            <w:r w:rsidRPr="00CB242C">
              <w:t xml:space="preserve">We analyse critically </w:t>
            </w:r>
          </w:p>
          <w:p w14:paraId="54EFF12A" w14:textId="77777777" w:rsidR="001C2C9B" w:rsidRPr="00CB242C" w:rsidRDefault="001C2C9B" w:rsidP="00CC40FA">
            <w:pPr>
              <w:pStyle w:val="Default"/>
              <w:rPr>
                <w:b/>
                <w:bCs/>
                <w:color w:val="1F3864" w:themeColor="accent1" w:themeShade="80"/>
              </w:rPr>
            </w:pPr>
          </w:p>
        </w:tc>
        <w:tc>
          <w:tcPr>
            <w:tcW w:w="4843" w:type="dxa"/>
          </w:tcPr>
          <w:p w14:paraId="1341433C" w14:textId="77777777" w:rsidR="001C2C9B" w:rsidRPr="00CB242C" w:rsidRDefault="001C2C9B" w:rsidP="001C2C9B">
            <w:pPr>
              <w:pStyle w:val="Default"/>
            </w:pPr>
            <w:r w:rsidRPr="00CB242C">
              <w:t xml:space="preserve">Level 1 </w:t>
            </w:r>
          </w:p>
          <w:p w14:paraId="1403BFBD" w14:textId="77777777" w:rsidR="001C2C9B" w:rsidRPr="00CB242C" w:rsidRDefault="001C2C9B" w:rsidP="00CC40FA">
            <w:pPr>
              <w:pStyle w:val="Default"/>
              <w:rPr>
                <w:b/>
                <w:bCs/>
                <w:color w:val="1F3864" w:themeColor="accent1" w:themeShade="80"/>
              </w:rPr>
            </w:pPr>
          </w:p>
        </w:tc>
      </w:tr>
      <w:tr w:rsidR="001C2C9B" w14:paraId="51FCC123" w14:textId="77777777" w:rsidTr="001C2C9B">
        <w:tc>
          <w:tcPr>
            <w:tcW w:w="4939" w:type="dxa"/>
          </w:tcPr>
          <w:p w14:paraId="28F3AB54" w14:textId="77777777" w:rsidR="001C2C9B" w:rsidRPr="00CB242C" w:rsidRDefault="001C2C9B" w:rsidP="001C2C9B">
            <w:pPr>
              <w:pStyle w:val="Default"/>
            </w:pPr>
            <w:r w:rsidRPr="00CB242C">
              <w:t xml:space="preserve">We are innovative and open-minded </w:t>
            </w:r>
          </w:p>
          <w:p w14:paraId="0AEE1F9B" w14:textId="77777777" w:rsidR="001C2C9B" w:rsidRPr="00CB242C" w:rsidRDefault="001C2C9B" w:rsidP="00CC40FA">
            <w:pPr>
              <w:pStyle w:val="Default"/>
              <w:rPr>
                <w:b/>
                <w:bCs/>
                <w:color w:val="1F3864" w:themeColor="accent1" w:themeShade="80"/>
              </w:rPr>
            </w:pPr>
          </w:p>
        </w:tc>
        <w:tc>
          <w:tcPr>
            <w:tcW w:w="4843" w:type="dxa"/>
          </w:tcPr>
          <w:p w14:paraId="63FD68A7" w14:textId="77777777" w:rsidR="001C2C9B" w:rsidRPr="00CB242C" w:rsidRDefault="001C2C9B" w:rsidP="001C2C9B">
            <w:pPr>
              <w:pStyle w:val="Default"/>
            </w:pPr>
            <w:r w:rsidRPr="00CB242C">
              <w:t xml:space="preserve">Level 1 </w:t>
            </w:r>
          </w:p>
          <w:p w14:paraId="6C3F4311" w14:textId="77777777" w:rsidR="001C2C9B" w:rsidRPr="00CB242C" w:rsidRDefault="001C2C9B" w:rsidP="00CC40FA">
            <w:pPr>
              <w:pStyle w:val="Default"/>
              <w:rPr>
                <w:b/>
                <w:bCs/>
                <w:color w:val="1F3864" w:themeColor="accent1" w:themeShade="80"/>
              </w:rPr>
            </w:pPr>
          </w:p>
        </w:tc>
      </w:tr>
    </w:tbl>
    <w:p w14:paraId="0CE64897" w14:textId="396CFA2A" w:rsidR="001C2C9B" w:rsidRDefault="001C2C9B" w:rsidP="00CC40FA">
      <w:pPr>
        <w:pStyle w:val="Default"/>
        <w:rPr>
          <w:b/>
          <w:bCs/>
          <w:color w:val="1F3864" w:themeColor="accent1" w:themeShade="80"/>
          <w:sz w:val="32"/>
          <w:szCs w:val="32"/>
        </w:rPr>
      </w:pPr>
    </w:p>
    <w:p w14:paraId="24C5E7BD" w14:textId="57580644" w:rsidR="00ED0EEA" w:rsidRDefault="00ED0EEA" w:rsidP="00CC40FA">
      <w:pPr>
        <w:pStyle w:val="Default"/>
        <w:rPr>
          <w:b/>
          <w:bCs/>
          <w:color w:val="1F3864" w:themeColor="accent1" w:themeShade="80"/>
          <w:sz w:val="32"/>
          <w:szCs w:val="32"/>
        </w:rPr>
      </w:pPr>
    </w:p>
    <w:p w14:paraId="66F538EA" w14:textId="68955D85" w:rsidR="00ED0EEA" w:rsidRDefault="00ED0EEA" w:rsidP="00CC40FA">
      <w:pPr>
        <w:pStyle w:val="Default"/>
        <w:rPr>
          <w:b/>
          <w:bCs/>
          <w:color w:val="1F3864" w:themeColor="accent1" w:themeShade="80"/>
          <w:sz w:val="32"/>
          <w:szCs w:val="32"/>
        </w:rPr>
      </w:pPr>
    </w:p>
    <w:p w14:paraId="4531A277" w14:textId="1C327F55" w:rsidR="00ED0EEA" w:rsidRDefault="00ED0EEA" w:rsidP="00CC40FA">
      <w:pPr>
        <w:pStyle w:val="Default"/>
        <w:rPr>
          <w:b/>
          <w:bCs/>
          <w:color w:val="1F3864" w:themeColor="accent1" w:themeShade="80"/>
          <w:sz w:val="32"/>
          <w:szCs w:val="32"/>
        </w:rPr>
      </w:pPr>
    </w:p>
    <w:p w14:paraId="584B9A06" w14:textId="6760B038" w:rsidR="00ED0EEA" w:rsidRDefault="00ED0EEA" w:rsidP="00CC40FA">
      <w:pPr>
        <w:pStyle w:val="Default"/>
        <w:rPr>
          <w:b/>
          <w:bCs/>
          <w:color w:val="1F3864" w:themeColor="accent1" w:themeShade="80"/>
          <w:sz w:val="32"/>
          <w:szCs w:val="32"/>
        </w:rPr>
      </w:pPr>
    </w:p>
    <w:p w14:paraId="03553E99" w14:textId="784F166C" w:rsidR="00ED0EEA" w:rsidRDefault="00ED0EEA" w:rsidP="00CC40FA">
      <w:pPr>
        <w:pStyle w:val="Default"/>
        <w:rPr>
          <w:b/>
          <w:bCs/>
          <w:color w:val="1F3864" w:themeColor="accent1" w:themeShade="80"/>
          <w:sz w:val="32"/>
          <w:szCs w:val="32"/>
        </w:rPr>
      </w:pPr>
    </w:p>
    <w:p w14:paraId="0D1C18D6" w14:textId="09F18E01" w:rsidR="00ED0EEA" w:rsidRDefault="00ED0EEA" w:rsidP="00CC40FA">
      <w:pPr>
        <w:pStyle w:val="Default"/>
        <w:rPr>
          <w:b/>
          <w:bCs/>
          <w:color w:val="1F3864" w:themeColor="accent1" w:themeShade="80"/>
          <w:sz w:val="32"/>
          <w:szCs w:val="32"/>
        </w:rPr>
      </w:pPr>
    </w:p>
    <w:p w14:paraId="12E1820D" w14:textId="7046DD59" w:rsidR="00ED0EEA" w:rsidRDefault="00ED0EEA" w:rsidP="00CC40FA">
      <w:pPr>
        <w:pStyle w:val="Default"/>
        <w:rPr>
          <w:b/>
          <w:bCs/>
          <w:color w:val="1F3864" w:themeColor="accent1" w:themeShade="80"/>
          <w:sz w:val="32"/>
          <w:szCs w:val="32"/>
        </w:rPr>
      </w:pPr>
    </w:p>
    <w:p w14:paraId="69A69B1D" w14:textId="37998413" w:rsidR="00ED0EEA" w:rsidRDefault="00ED0EEA" w:rsidP="00CC40FA">
      <w:pPr>
        <w:pStyle w:val="Default"/>
        <w:rPr>
          <w:b/>
          <w:bCs/>
          <w:color w:val="1F3864" w:themeColor="accent1" w:themeShade="80"/>
          <w:sz w:val="32"/>
          <w:szCs w:val="32"/>
        </w:rPr>
      </w:pPr>
    </w:p>
    <w:p w14:paraId="176C8CE5" w14:textId="3A65E550" w:rsidR="00ED0EEA" w:rsidRDefault="00ED0EEA" w:rsidP="00CC40FA">
      <w:pPr>
        <w:pStyle w:val="Default"/>
        <w:rPr>
          <w:b/>
          <w:bCs/>
          <w:color w:val="1F3864" w:themeColor="accent1" w:themeShade="80"/>
          <w:sz w:val="32"/>
          <w:szCs w:val="32"/>
        </w:rPr>
      </w:pPr>
    </w:p>
    <w:p w14:paraId="721B09C6" w14:textId="1252D75C" w:rsidR="00ED0EEA" w:rsidRDefault="00ED0EEA" w:rsidP="00CC40FA">
      <w:pPr>
        <w:pStyle w:val="Default"/>
        <w:rPr>
          <w:b/>
          <w:bCs/>
          <w:color w:val="1F3864" w:themeColor="accent1" w:themeShade="80"/>
          <w:sz w:val="32"/>
          <w:szCs w:val="32"/>
        </w:rPr>
      </w:pPr>
    </w:p>
    <w:p w14:paraId="0F1CA397" w14:textId="58BC900D" w:rsidR="00ED0EEA" w:rsidRDefault="00ED0EEA" w:rsidP="00CC40FA">
      <w:pPr>
        <w:pStyle w:val="Default"/>
        <w:rPr>
          <w:b/>
          <w:bCs/>
          <w:color w:val="1F3864" w:themeColor="accent1" w:themeShade="80"/>
          <w:sz w:val="32"/>
          <w:szCs w:val="32"/>
        </w:rPr>
      </w:pPr>
    </w:p>
    <w:p w14:paraId="54EF2567" w14:textId="0AA1CA6E" w:rsidR="00ED0EEA" w:rsidRDefault="00ED0EEA" w:rsidP="00CC40FA">
      <w:pPr>
        <w:pStyle w:val="Default"/>
        <w:rPr>
          <w:b/>
          <w:bCs/>
          <w:color w:val="1F3864" w:themeColor="accent1" w:themeShade="80"/>
          <w:sz w:val="32"/>
          <w:szCs w:val="32"/>
        </w:rPr>
      </w:pPr>
    </w:p>
    <w:p w14:paraId="7BDF9BB3" w14:textId="4C6515A4" w:rsidR="006B3053" w:rsidRDefault="006B3053" w:rsidP="00CC40FA">
      <w:pPr>
        <w:pStyle w:val="Default"/>
        <w:rPr>
          <w:b/>
          <w:bCs/>
          <w:color w:val="1F3864" w:themeColor="accent1" w:themeShade="80"/>
          <w:sz w:val="32"/>
          <w:szCs w:val="32"/>
        </w:rPr>
      </w:pPr>
    </w:p>
    <w:p w14:paraId="5CFC18E8" w14:textId="77777777" w:rsidR="006B3053" w:rsidRDefault="006B3053" w:rsidP="00CC40FA">
      <w:pPr>
        <w:pStyle w:val="Default"/>
        <w:rPr>
          <w:b/>
          <w:bCs/>
          <w:color w:val="1F3864" w:themeColor="accent1" w:themeShade="80"/>
          <w:sz w:val="32"/>
          <w:szCs w:val="32"/>
        </w:rPr>
      </w:pPr>
    </w:p>
    <w:p w14:paraId="018D190A" w14:textId="77777777" w:rsidR="00ED0EEA" w:rsidRDefault="00ED0EEA" w:rsidP="00CC40FA">
      <w:pPr>
        <w:pStyle w:val="Default"/>
        <w:rPr>
          <w:b/>
          <w:bCs/>
          <w:color w:val="1F3864" w:themeColor="accent1" w:themeShade="80"/>
          <w:sz w:val="32"/>
          <w:szCs w:val="32"/>
        </w:rPr>
      </w:pPr>
    </w:p>
    <w:tbl>
      <w:tblPr>
        <w:tblStyle w:val="TableGrid"/>
        <w:tblW w:w="9782" w:type="dxa"/>
        <w:tblInd w:w="-431" w:type="dxa"/>
        <w:tblLook w:val="04A0" w:firstRow="1" w:lastRow="0" w:firstColumn="1" w:lastColumn="0" w:noHBand="0" w:noVBand="1"/>
      </w:tblPr>
      <w:tblGrid>
        <w:gridCol w:w="9782"/>
      </w:tblGrid>
      <w:tr w:rsidR="00571609" w14:paraId="0CE88FC6" w14:textId="77777777" w:rsidTr="004B0D8F">
        <w:tc>
          <w:tcPr>
            <w:tcW w:w="9782" w:type="dxa"/>
          </w:tcPr>
          <w:p w14:paraId="26813B4D" w14:textId="77777777" w:rsidR="00571609" w:rsidRPr="00571609" w:rsidRDefault="00571609" w:rsidP="00571609">
            <w:pPr>
              <w:pStyle w:val="Default"/>
              <w:rPr>
                <w:b/>
                <w:bCs/>
                <w:color w:val="1F3864" w:themeColor="accent1" w:themeShade="80"/>
                <w:sz w:val="28"/>
                <w:szCs w:val="28"/>
              </w:rPr>
            </w:pPr>
            <w:r w:rsidRPr="00571609">
              <w:rPr>
                <w:b/>
                <w:bCs/>
                <w:color w:val="1F3864" w:themeColor="accent1" w:themeShade="80"/>
                <w:sz w:val="28"/>
                <w:szCs w:val="28"/>
              </w:rPr>
              <w:lastRenderedPageBreak/>
              <w:t xml:space="preserve">Education, Qualifications, Skills and Experience </w:t>
            </w:r>
          </w:p>
          <w:p w14:paraId="48A8C05D" w14:textId="6C9CB3AF" w:rsidR="00571609" w:rsidRPr="00571609" w:rsidRDefault="00571609" w:rsidP="00571609">
            <w:pPr>
              <w:pStyle w:val="Default"/>
              <w:rPr>
                <w:i/>
                <w:iCs/>
                <w:color w:val="auto"/>
                <w:sz w:val="22"/>
                <w:szCs w:val="22"/>
              </w:rPr>
            </w:pPr>
            <w:r w:rsidRPr="00571609">
              <w:rPr>
                <w:i/>
                <w:iCs/>
                <w:color w:val="1F3864" w:themeColor="accent1" w:themeShade="80"/>
                <w:sz w:val="22"/>
                <w:szCs w:val="22"/>
              </w:rPr>
              <w:t>(Outlines the skills and educational and qualification requirements to be able to fulfil the role. These should be considered for use as criteria within an individual’s PDR.)</w:t>
            </w:r>
            <w:r w:rsidRPr="00571609">
              <w:rPr>
                <w:i/>
                <w:iCs/>
                <w:sz w:val="22"/>
                <w:szCs w:val="22"/>
              </w:rPr>
              <w:t xml:space="preserve"> </w:t>
            </w:r>
          </w:p>
        </w:tc>
      </w:tr>
      <w:tr w:rsidR="00571609" w14:paraId="46F1A688" w14:textId="77777777" w:rsidTr="004911E2">
        <w:trPr>
          <w:trHeight w:val="4422"/>
        </w:trPr>
        <w:tc>
          <w:tcPr>
            <w:tcW w:w="9782" w:type="dxa"/>
          </w:tcPr>
          <w:p w14:paraId="6EA7F0D9" w14:textId="0BF7572A" w:rsidR="00571609" w:rsidRPr="002A2992" w:rsidRDefault="004B0D8F" w:rsidP="00571609">
            <w:pPr>
              <w:pStyle w:val="Default"/>
              <w:rPr>
                <w:b/>
                <w:bCs/>
                <w:color w:val="1F3864" w:themeColor="accent1" w:themeShade="80"/>
              </w:rPr>
            </w:pPr>
            <w:r>
              <w:rPr>
                <w:b/>
                <w:bCs/>
                <w:color w:val="1F3864" w:themeColor="accent1" w:themeShade="80"/>
              </w:rPr>
              <w:t>P</w:t>
            </w:r>
            <w:r w:rsidR="00571609" w:rsidRPr="002A2992">
              <w:rPr>
                <w:b/>
                <w:bCs/>
                <w:color w:val="1F3864" w:themeColor="accent1" w:themeShade="80"/>
              </w:rPr>
              <w:t xml:space="preserve">rior Education and Experience: </w:t>
            </w:r>
          </w:p>
          <w:p w14:paraId="14291876" w14:textId="77777777" w:rsidR="002A2992" w:rsidRPr="00CB242C" w:rsidRDefault="002A2992" w:rsidP="00571609">
            <w:pPr>
              <w:pStyle w:val="Default"/>
            </w:pPr>
          </w:p>
          <w:p w14:paraId="3BCFB0FD" w14:textId="56F0D0B5" w:rsidR="00571609" w:rsidRDefault="00571609" w:rsidP="00571609">
            <w:pPr>
              <w:pStyle w:val="Default"/>
              <w:numPr>
                <w:ilvl w:val="0"/>
                <w:numId w:val="3"/>
              </w:numPr>
            </w:pPr>
            <w:r w:rsidRPr="00CB242C">
              <w:t xml:space="preserve">Special Constables will have met minimum requirements for English and Mathematics. </w:t>
            </w:r>
          </w:p>
          <w:p w14:paraId="6F839C2C" w14:textId="77777777" w:rsidR="00CB242C" w:rsidRPr="00CB242C" w:rsidRDefault="00CB242C" w:rsidP="00CB242C">
            <w:pPr>
              <w:pStyle w:val="Default"/>
              <w:ind w:left="720"/>
            </w:pPr>
          </w:p>
          <w:p w14:paraId="29C5B300" w14:textId="270B3DD2" w:rsidR="00571609" w:rsidRDefault="00571609" w:rsidP="00571609">
            <w:pPr>
              <w:pStyle w:val="Default"/>
              <w:numPr>
                <w:ilvl w:val="0"/>
                <w:numId w:val="3"/>
              </w:numPr>
            </w:pPr>
            <w:r w:rsidRPr="00CB242C">
              <w:t xml:space="preserve">Achieve the learning outcomes specified in Phase 1 of the Initial Learning for the Special Constabulary on entry, until the establishment of subsequent standards by the College of Policing. </w:t>
            </w:r>
          </w:p>
          <w:p w14:paraId="754F6240" w14:textId="77777777" w:rsidR="00CB242C" w:rsidRPr="00CB242C" w:rsidRDefault="00CB242C" w:rsidP="00CB242C">
            <w:pPr>
              <w:pStyle w:val="Default"/>
            </w:pPr>
          </w:p>
          <w:p w14:paraId="2070DFB8" w14:textId="77777777" w:rsidR="00571609" w:rsidRPr="00CB242C" w:rsidRDefault="00571609" w:rsidP="00571609">
            <w:pPr>
              <w:pStyle w:val="Default"/>
              <w:numPr>
                <w:ilvl w:val="0"/>
                <w:numId w:val="3"/>
              </w:numPr>
            </w:pPr>
            <w:r w:rsidRPr="00CB242C">
              <w:t xml:space="preserve">Complete the in-training period, demonstrating competence in a range of activities as assessed through the Police Action Checklist, and meeting or exceeding the specified minimum hours of duty. </w:t>
            </w:r>
          </w:p>
          <w:p w14:paraId="25434BB8" w14:textId="77777777" w:rsidR="00571609" w:rsidRPr="00CB242C" w:rsidRDefault="00571609" w:rsidP="00571609">
            <w:pPr>
              <w:pStyle w:val="Default"/>
            </w:pPr>
          </w:p>
          <w:p w14:paraId="209966E2" w14:textId="77777777" w:rsidR="00350CA1" w:rsidRDefault="00350CA1" w:rsidP="00571609">
            <w:pPr>
              <w:pStyle w:val="Default"/>
              <w:rPr>
                <w:b/>
                <w:bCs/>
                <w:color w:val="1F3864" w:themeColor="accent1" w:themeShade="80"/>
              </w:rPr>
            </w:pPr>
          </w:p>
          <w:p w14:paraId="7A2D27AA" w14:textId="4217A81E" w:rsidR="00CB242C" w:rsidRPr="002A2992" w:rsidRDefault="00571609" w:rsidP="00571609">
            <w:pPr>
              <w:pStyle w:val="Default"/>
              <w:rPr>
                <w:b/>
                <w:bCs/>
                <w:color w:val="1F3864" w:themeColor="accent1" w:themeShade="80"/>
              </w:rPr>
            </w:pPr>
            <w:r w:rsidRPr="002A2992">
              <w:rPr>
                <w:b/>
                <w:bCs/>
                <w:color w:val="1F3864" w:themeColor="accent1" w:themeShade="80"/>
              </w:rPr>
              <w:t xml:space="preserve">Policing Education and Qualification Framework (PEQF): </w:t>
            </w:r>
          </w:p>
          <w:p w14:paraId="065B27F4" w14:textId="77777777" w:rsidR="00CB242C" w:rsidRPr="00CB242C" w:rsidRDefault="00CB242C" w:rsidP="00571609">
            <w:pPr>
              <w:pStyle w:val="Default"/>
              <w:rPr>
                <w:b/>
                <w:bCs/>
              </w:rPr>
            </w:pPr>
          </w:p>
          <w:p w14:paraId="5BC5E4C2" w14:textId="77777777" w:rsidR="00571609" w:rsidRPr="00CB242C" w:rsidRDefault="00571609" w:rsidP="00571609">
            <w:pPr>
              <w:pStyle w:val="Default"/>
              <w:numPr>
                <w:ilvl w:val="0"/>
                <w:numId w:val="5"/>
              </w:numPr>
            </w:pPr>
            <w:r w:rsidRPr="00CB242C">
              <w:t xml:space="preserve">The College of Policing is working in partnership with the NPCC to implement the Special Constabulary National Strategy, as published in 2018. One of the elements of this work is the definition of the education provision for the role of Special Constable. Further updates will be provided, as available. </w:t>
            </w:r>
          </w:p>
          <w:p w14:paraId="51E5C0B1" w14:textId="77777777" w:rsidR="00571609" w:rsidRPr="00CB242C" w:rsidRDefault="00571609" w:rsidP="00571609">
            <w:pPr>
              <w:rPr>
                <w:sz w:val="24"/>
                <w:szCs w:val="24"/>
              </w:rPr>
            </w:pPr>
          </w:p>
          <w:p w14:paraId="761E1473" w14:textId="079C1B19" w:rsidR="00571609" w:rsidRPr="002A2992" w:rsidRDefault="00571609" w:rsidP="00571609">
            <w:pPr>
              <w:pStyle w:val="Default"/>
              <w:rPr>
                <w:b/>
                <w:bCs/>
                <w:color w:val="1F3864" w:themeColor="accent1" w:themeShade="80"/>
              </w:rPr>
            </w:pPr>
            <w:r w:rsidRPr="002A2992">
              <w:rPr>
                <w:b/>
                <w:bCs/>
                <w:color w:val="1F3864" w:themeColor="accent1" w:themeShade="80"/>
              </w:rPr>
              <w:t xml:space="preserve">Skills: </w:t>
            </w:r>
          </w:p>
          <w:p w14:paraId="0AC8325A" w14:textId="77777777" w:rsidR="002A2992" w:rsidRPr="00CB242C" w:rsidRDefault="002A2992" w:rsidP="00571609">
            <w:pPr>
              <w:pStyle w:val="Default"/>
            </w:pPr>
          </w:p>
          <w:p w14:paraId="7B036AEC" w14:textId="72186F6A" w:rsidR="00571609" w:rsidRDefault="00571609" w:rsidP="00571609">
            <w:pPr>
              <w:pStyle w:val="Default"/>
              <w:numPr>
                <w:ilvl w:val="0"/>
                <w:numId w:val="4"/>
              </w:numPr>
            </w:pPr>
            <w:r w:rsidRPr="00CB242C">
              <w:t xml:space="preserve">Able to develop a deep knowledge and understanding of a local community including society composition, the needs of the vulnerable and local safety issues. </w:t>
            </w:r>
          </w:p>
          <w:p w14:paraId="2E77230E" w14:textId="77777777" w:rsidR="00CB242C" w:rsidRPr="00CB242C" w:rsidRDefault="00CB242C" w:rsidP="00CB242C">
            <w:pPr>
              <w:pStyle w:val="Default"/>
              <w:ind w:left="720"/>
            </w:pPr>
          </w:p>
          <w:p w14:paraId="4D29D658" w14:textId="2B889925" w:rsidR="00571609" w:rsidRDefault="00571609" w:rsidP="00571609">
            <w:pPr>
              <w:pStyle w:val="Default"/>
              <w:numPr>
                <w:ilvl w:val="0"/>
                <w:numId w:val="4"/>
              </w:numPr>
            </w:pPr>
            <w:r w:rsidRPr="00CB242C">
              <w:t xml:space="preserve">Strong communication skills with the ability to set out logical arguments clearly and adapt language, form and message to meet the needs of different people/ audiences. </w:t>
            </w:r>
          </w:p>
          <w:p w14:paraId="3267D7BD" w14:textId="77777777" w:rsidR="00CB242C" w:rsidRPr="00CB242C" w:rsidRDefault="00CB242C" w:rsidP="00CB242C">
            <w:pPr>
              <w:pStyle w:val="Default"/>
            </w:pPr>
          </w:p>
          <w:p w14:paraId="5910DC7D" w14:textId="3C2A87CF" w:rsidR="00571609" w:rsidRDefault="00571609" w:rsidP="00571609">
            <w:pPr>
              <w:pStyle w:val="Default"/>
              <w:numPr>
                <w:ilvl w:val="0"/>
                <w:numId w:val="4"/>
              </w:numPr>
            </w:pPr>
            <w:r w:rsidRPr="00CB242C">
              <w:t xml:space="preserve">Good team working skills demonstrating awareness of individual differences and providing support as required. </w:t>
            </w:r>
          </w:p>
          <w:p w14:paraId="46A8F188" w14:textId="77777777" w:rsidR="00CB242C" w:rsidRPr="00CB242C" w:rsidRDefault="00CB242C" w:rsidP="00CB242C">
            <w:pPr>
              <w:pStyle w:val="Default"/>
            </w:pPr>
          </w:p>
          <w:p w14:paraId="76E77E2D" w14:textId="68350DCA" w:rsidR="00571609" w:rsidRDefault="00571609" w:rsidP="00571609">
            <w:pPr>
              <w:pStyle w:val="Default"/>
              <w:numPr>
                <w:ilvl w:val="0"/>
                <w:numId w:val="4"/>
              </w:numPr>
            </w:pPr>
            <w:r w:rsidRPr="00CB242C">
              <w:t xml:space="preserve">Able to proactively develop effective working relationships with colleagues, partners and other stakeholders, understanding their needs and concerns. </w:t>
            </w:r>
          </w:p>
          <w:p w14:paraId="565EF212" w14:textId="77777777" w:rsidR="00CB242C" w:rsidRPr="00CB242C" w:rsidRDefault="00CB242C" w:rsidP="00CB242C">
            <w:pPr>
              <w:pStyle w:val="Default"/>
            </w:pPr>
          </w:p>
          <w:p w14:paraId="29E06B3A" w14:textId="385A1AE8" w:rsidR="00571609" w:rsidRDefault="00571609" w:rsidP="00571609">
            <w:pPr>
              <w:pStyle w:val="Default"/>
              <w:numPr>
                <w:ilvl w:val="0"/>
                <w:numId w:val="4"/>
              </w:numPr>
            </w:pPr>
            <w:r w:rsidRPr="00CB242C">
              <w:t xml:space="preserve">Able to identify the drivers of behaviour, acting with discretion and emotional intelligence to manage conflict and defuse difficult situations. </w:t>
            </w:r>
          </w:p>
          <w:p w14:paraId="73C712AA" w14:textId="77777777" w:rsidR="00CB242C" w:rsidRPr="00CB242C" w:rsidRDefault="00CB242C" w:rsidP="00CB242C">
            <w:pPr>
              <w:pStyle w:val="Default"/>
            </w:pPr>
          </w:p>
          <w:p w14:paraId="217E52AF" w14:textId="7B82287E" w:rsidR="00571609" w:rsidRDefault="00571609" w:rsidP="00571609">
            <w:pPr>
              <w:pStyle w:val="Default"/>
              <w:numPr>
                <w:ilvl w:val="0"/>
                <w:numId w:val="4"/>
              </w:numPr>
            </w:pPr>
            <w:r w:rsidRPr="00CB242C">
              <w:t xml:space="preserve">Problem solving skills with the ability to identify cause and effect and develop a course of action designed to target root causes as well as manage impacts. </w:t>
            </w:r>
          </w:p>
          <w:p w14:paraId="4B586B19" w14:textId="77777777" w:rsidR="00CB242C" w:rsidRPr="00CB242C" w:rsidRDefault="00CB242C" w:rsidP="00CB242C">
            <w:pPr>
              <w:pStyle w:val="Default"/>
            </w:pPr>
          </w:p>
          <w:p w14:paraId="0636C969" w14:textId="2E294844" w:rsidR="00571609" w:rsidRDefault="00571609" w:rsidP="00571609">
            <w:pPr>
              <w:pStyle w:val="Default"/>
              <w:numPr>
                <w:ilvl w:val="0"/>
                <w:numId w:val="4"/>
              </w:numPr>
            </w:pPr>
            <w:r w:rsidRPr="00CB242C">
              <w:t xml:space="preserve">Able to interpret and apply guidance to a specific activity. </w:t>
            </w:r>
          </w:p>
          <w:p w14:paraId="00C6244F" w14:textId="77777777" w:rsidR="00CB242C" w:rsidRPr="00CB242C" w:rsidRDefault="00CB242C" w:rsidP="00CB242C">
            <w:pPr>
              <w:pStyle w:val="Default"/>
            </w:pPr>
          </w:p>
          <w:p w14:paraId="7ED97FB5" w14:textId="593543C9" w:rsidR="00571609" w:rsidRDefault="00571609" w:rsidP="00571609">
            <w:pPr>
              <w:pStyle w:val="Default"/>
              <w:numPr>
                <w:ilvl w:val="0"/>
                <w:numId w:val="4"/>
              </w:numPr>
            </w:pPr>
            <w:r w:rsidRPr="00CB242C">
              <w:t xml:space="preserve">Able to critically question and identify potential opportunities to enhance efficiency and/or effectiveness within area of work. </w:t>
            </w:r>
          </w:p>
          <w:p w14:paraId="6B765540" w14:textId="77777777" w:rsidR="00CB242C" w:rsidRPr="00CB242C" w:rsidRDefault="00CB242C" w:rsidP="00CB242C">
            <w:pPr>
              <w:pStyle w:val="Default"/>
            </w:pPr>
          </w:p>
          <w:p w14:paraId="7905364A" w14:textId="73A074E2" w:rsidR="00571609" w:rsidRDefault="00571609" w:rsidP="00571609">
            <w:pPr>
              <w:pStyle w:val="Default"/>
              <w:numPr>
                <w:ilvl w:val="0"/>
                <w:numId w:val="4"/>
              </w:numPr>
            </w:pPr>
            <w:r w:rsidRPr="00CB242C">
              <w:lastRenderedPageBreak/>
              <w:t xml:space="preserve">Able to identify, analyse and manage risk to inform balanced, proportionate, evidence based decisions. </w:t>
            </w:r>
          </w:p>
          <w:p w14:paraId="6DB0F93C" w14:textId="77777777" w:rsidR="00CB242C" w:rsidRPr="00CB242C" w:rsidRDefault="00CB242C" w:rsidP="00CB242C">
            <w:pPr>
              <w:pStyle w:val="Default"/>
            </w:pPr>
          </w:p>
          <w:p w14:paraId="5800B8AE" w14:textId="3D4056E0" w:rsidR="00571609" w:rsidRDefault="00571609" w:rsidP="00571609">
            <w:pPr>
              <w:pStyle w:val="Default"/>
              <w:numPr>
                <w:ilvl w:val="0"/>
                <w:numId w:val="4"/>
              </w:numPr>
            </w:pPr>
            <w:r w:rsidRPr="00CB242C">
              <w:t xml:space="preserve">Able to review and reflect on performance objectively and to take steps to maintain and enhance competence and professional standards appropriate to the role. </w:t>
            </w:r>
          </w:p>
          <w:p w14:paraId="6851A158" w14:textId="77777777" w:rsidR="002A2992" w:rsidRPr="00CB242C" w:rsidRDefault="002A2992" w:rsidP="002A2992">
            <w:pPr>
              <w:pStyle w:val="Default"/>
            </w:pPr>
          </w:p>
          <w:p w14:paraId="2EB9D888" w14:textId="4372A52A" w:rsidR="00571609" w:rsidRDefault="00571609" w:rsidP="00571609">
            <w:pPr>
              <w:pStyle w:val="Default"/>
              <w:numPr>
                <w:ilvl w:val="0"/>
                <w:numId w:val="4"/>
              </w:numPr>
            </w:pPr>
            <w:r w:rsidRPr="00CB242C">
              <w:t xml:space="preserve">Good time management skills with the ability to appropriately prioritise and plan work. </w:t>
            </w:r>
          </w:p>
          <w:p w14:paraId="2037023E" w14:textId="77777777" w:rsidR="00CB242C" w:rsidRPr="00CB242C" w:rsidRDefault="00CB242C" w:rsidP="00CB242C">
            <w:pPr>
              <w:pStyle w:val="Default"/>
              <w:ind w:left="360"/>
            </w:pPr>
          </w:p>
          <w:p w14:paraId="2AB4B3C5" w14:textId="795DD106" w:rsidR="00571609" w:rsidRDefault="00571609" w:rsidP="00571609">
            <w:pPr>
              <w:pStyle w:val="Default"/>
              <w:numPr>
                <w:ilvl w:val="0"/>
                <w:numId w:val="1"/>
              </w:numPr>
            </w:pPr>
            <w:r w:rsidRPr="00CB242C">
              <w:t>Skilled in the use of standard IT packages, systems and/or databases to fulfil role requirements.</w:t>
            </w:r>
          </w:p>
          <w:p w14:paraId="1F28BE7B" w14:textId="77777777" w:rsidR="00CB242C" w:rsidRPr="00CB242C" w:rsidRDefault="00CB242C" w:rsidP="00CB242C">
            <w:pPr>
              <w:pStyle w:val="Default"/>
              <w:ind w:left="720"/>
            </w:pPr>
          </w:p>
          <w:p w14:paraId="50E04631" w14:textId="0C509B7F" w:rsidR="00571609" w:rsidRPr="006A37C9" w:rsidRDefault="00571609" w:rsidP="00CC40FA">
            <w:pPr>
              <w:pStyle w:val="Default"/>
              <w:numPr>
                <w:ilvl w:val="0"/>
                <w:numId w:val="1"/>
              </w:numPr>
            </w:pPr>
            <w:r w:rsidRPr="00CB242C">
              <w:t>Skilled in applying personal safety tactics, including the use of equipment and restraints.</w:t>
            </w:r>
          </w:p>
        </w:tc>
      </w:tr>
    </w:tbl>
    <w:p w14:paraId="4C62EB4C" w14:textId="2A66BBEA" w:rsidR="006A37C9" w:rsidRDefault="006A37C9" w:rsidP="00ED0EEA">
      <w:pPr>
        <w:pStyle w:val="Default"/>
        <w:rPr>
          <w:sz w:val="22"/>
          <w:szCs w:val="22"/>
        </w:rPr>
      </w:pPr>
    </w:p>
    <w:p w14:paraId="4243BB5A" w14:textId="3B774024" w:rsidR="004911E2" w:rsidRDefault="004911E2" w:rsidP="00B40F8F">
      <w:pPr>
        <w:pStyle w:val="Default"/>
        <w:ind w:left="720"/>
        <w:rPr>
          <w:sz w:val="22"/>
          <w:szCs w:val="22"/>
        </w:rPr>
      </w:pPr>
    </w:p>
    <w:p w14:paraId="68E473C0" w14:textId="77777777" w:rsidR="004911E2" w:rsidRDefault="004911E2" w:rsidP="00B40F8F">
      <w:pPr>
        <w:pStyle w:val="Default"/>
        <w:ind w:left="720"/>
        <w:rPr>
          <w:sz w:val="22"/>
          <w:szCs w:val="22"/>
        </w:rPr>
      </w:pPr>
    </w:p>
    <w:tbl>
      <w:tblPr>
        <w:tblStyle w:val="TableGrid"/>
        <w:tblW w:w="9782" w:type="dxa"/>
        <w:tblInd w:w="-431" w:type="dxa"/>
        <w:tblLook w:val="04A0" w:firstRow="1" w:lastRow="0" w:firstColumn="1" w:lastColumn="0" w:noHBand="0" w:noVBand="1"/>
      </w:tblPr>
      <w:tblGrid>
        <w:gridCol w:w="9782"/>
      </w:tblGrid>
      <w:tr w:rsidR="00A81C71" w14:paraId="58B4BF8F" w14:textId="77777777" w:rsidTr="00A81C71">
        <w:tc>
          <w:tcPr>
            <w:tcW w:w="9782" w:type="dxa"/>
          </w:tcPr>
          <w:p w14:paraId="2EF6C986" w14:textId="77777777" w:rsidR="00A81C71" w:rsidRPr="00A81C71" w:rsidRDefault="00A81C71" w:rsidP="00A81C71">
            <w:pPr>
              <w:pStyle w:val="Default"/>
              <w:rPr>
                <w:b/>
                <w:bCs/>
                <w:color w:val="1F3864" w:themeColor="accent1" w:themeShade="80"/>
                <w:sz w:val="28"/>
                <w:szCs w:val="28"/>
              </w:rPr>
            </w:pPr>
            <w:r w:rsidRPr="00A81C71">
              <w:rPr>
                <w:b/>
                <w:bCs/>
                <w:color w:val="1F3864" w:themeColor="accent1" w:themeShade="80"/>
                <w:sz w:val="28"/>
                <w:szCs w:val="28"/>
              </w:rPr>
              <w:t xml:space="preserve">Continuing Professional Development (CPD) Requirements </w:t>
            </w:r>
          </w:p>
          <w:p w14:paraId="1EE8814A" w14:textId="607A7F2C" w:rsidR="00A81C71" w:rsidRPr="00A81C71" w:rsidRDefault="00A81C71" w:rsidP="00A81C71">
            <w:pPr>
              <w:pStyle w:val="Default"/>
              <w:rPr>
                <w:i/>
                <w:iCs/>
                <w:sz w:val="22"/>
                <w:szCs w:val="22"/>
              </w:rPr>
            </w:pPr>
            <w:r w:rsidRPr="00A81C71">
              <w:rPr>
                <w:b/>
                <w:bCs/>
                <w:i/>
                <w:iCs/>
                <w:color w:val="1F3864" w:themeColor="accent1" w:themeShade="80"/>
                <w:sz w:val="22"/>
                <w:szCs w:val="22"/>
              </w:rPr>
              <w:t>(Outlines continuing professional development activities which will enable the individual to maintain and enhance competence in the role)</w:t>
            </w:r>
            <w:r w:rsidRPr="00A81C71">
              <w:rPr>
                <w:i/>
                <w:iCs/>
                <w:sz w:val="22"/>
                <w:szCs w:val="22"/>
              </w:rPr>
              <w:t xml:space="preserve"> </w:t>
            </w:r>
          </w:p>
        </w:tc>
      </w:tr>
      <w:tr w:rsidR="00A81C71" w14:paraId="27B67ACB" w14:textId="77777777" w:rsidTr="00A81C71">
        <w:tc>
          <w:tcPr>
            <w:tcW w:w="9782" w:type="dxa"/>
          </w:tcPr>
          <w:p w14:paraId="7323F929" w14:textId="79202C5A" w:rsidR="00A81C71" w:rsidRDefault="00A81C71" w:rsidP="00A81C71">
            <w:pPr>
              <w:pStyle w:val="Default"/>
              <w:numPr>
                <w:ilvl w:val="0"/>
                <w:numId w:val="1"/>
              </w:numPr>
            </w:pPr>
            <w:r w:rsidRPr="00CB242C">
              <w:t xml:space="preserve">Maintain an up to date understanding of Police Regulations and College of Policing Guidance, best practice and any local policy applicable to the operational police context. </w:t>
            </w:r>
          </w:p>
          <w:p w14:paraId="62527753" w14:textId="77777777" w:rsidR="00CB242C" w:rsidRPr="00CB242C" w:rsidRDefault="00CB242C" w:rsidP="00CB242C">
            <w:pPr>
              <w:pStyle w:val="Default"/>
              <w:ind w:left="720"/>
            </w:pPr>
          </w:p>
          <w:p w14:paraId="461A7C20" w14:textId="77777777" w:rsidR="00A81C71" w:rsidRPr="00CB242C" w:rsidRDefault="00A81C71" w:rsidP="00A81C71">
            <w:pPr>
              <w:pStyle w:val="Default"/>
              <w:numPr>
                <w:ilvl w:val="0"/>
                <w:numId w:val="1"/>
              </w:numPr>
            </w:pPr>
            <w:r w:rsidRPr="00CB242C">
              <w:t>Maintain and update key knowledge, understanding and skills relating to criminology, legislation, policy and practice across all functional policing areas of operational policing.</w:t>
            </w:r>
          </w:p>
          <w:p w14:paraId="0118B690" w14:textId="10B88418" w:rsidR="00A81C71" w:rsidRDefault="00A81C71" w:rsidP="00A81C71">
            <w:pPr>
              <w:pStyle w:val="Default"/>
              <w:numPr>
                <w:ilvl w:val="0"/>
                <w:numId w:val="1"/>
              </w:numPr>
            </w:pPr>
            <w:r w:rsidRPr="00CB242C">
              <w:t xml:space="preserve">Maintain knowledge and understanding of new approaches identified by evidence based policing research and problem solving, test and synthesise these into working practice, championing innovation and changes to practice. </w:t>
            </w:r>
          </w:p>
          <w:p w14:paraId="11B05780" w14:textId="77777777" w:rsidR="00CB242C" w:rsidRPr="00CB242C" w:rsidRDefault="00CB242C" w:rsidP="00CB242C">
            <w:pPr>
              <w:pStyle w:val="Default"/>
              <w:ind w:left="720"/>
            </w:pPr>
          </w:p>
          <w:p w14:paraId="2C206B1C" w14:textId="3519879E" w:rsidR="00A81C71" w:rsidRDefault="00A81C71" w:rsidP="00A81C71">
            <w:pPr>
              <w:pStyle w:val="Default"/>
              <w:numPr>
                <w:ilvl w:val="0"/>
                <w:numId w:val="1"/>
              </w:numPr>
            </w:pPr>
            <w:r w:rsidRPr="00CB242C">
              <w:t xml:space="preserve">Maintain a working knowledge and understanding of new and evolving crime threats and priorities and current best practice to tackle these in order to enable a pro-active and preventative approach. </w:t>
            </w:r>
          </w:p>
          <w:p w14:paraId="2F748221" w14:textId="77777777" w:rsidR="00CB242C" w:rsidRPr="00CB242C" w:rsidRDefault="00CB242C" w:rsidP="00CB242C">
            <w:pPr>
              <w:pStyle w:val="Default"/>
            </w:pPr>
          </w:p>
          <w:p w14:paraId="72B9DEDF" w14:textId="77777777" w:rsidR="00A81C71" w:rsidRPr="00CB242C" w:rsidRDefault="00A81C71" w:rsidP="00A81C71">
            <w:pPr>
              <w:pStyle w:val="Default"/>
              <w:numPr>
                <w:ilvl w:val="0"/>
                <w:numId w:val="1"/>
              </w:numPr>
            </w:pPr>
            <w:r w:rsidRPr="00CB242C">
              <w:t xml:space="preserve">Complete all annual and mandatory training including for example, fitness tests, personal safety training, first aid, and protecting information. </w:t>
            </w:r>
          </w:p>
          <w:p w14:paraId="2925BC53" w14:textId="77777777" w:rsidR="00A81C71" w:rsidRDefault="00A81C71" w:rsidP="00B40F8F">
            <w:pPr>
              <w:pStyle w:val="Default"/>
              <w:rPr>
                <w:sz w:val="22"/>
                <w:szCs w:val="22"/>
              </w:rPr>
            </w:pPr>
          </w:p>
        </w:tc>
      </w:tr>
    </w:tbl>
    <w:p w14:paraId="04965F75" w14:textId="77777777" w:rsidR="00B40F8F" w:rsidRDefault="00B40F8F" w:rsidP="00B40F8F">
      <w:pPr>
        <w:pStyle w:val="Default"/>
        <w:ind w:left="720"/>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77"/>
      </w:tblGrid>
      <w:tr w:rsidR="00A81C71" w14:paraId="14A8F111" w14:textId="77777777" w:rsidTr="008E5D10">
        <w:trPr>
          <w:trHeight w:val="238"/>
        </w:trPr>
        <w:tc>
          <w:tcPr>
            <w:tcW w:w="6777" w:type="dxa"/>
          </w:tcPr>
          <w:p w14:paraId="6A0D209C" w14:textId="690B3C63" w:rsidR="00A81C71" w:rsidRDefault="00A81C71" w:rsidP="008E5D10">
            <w:pPr>
              <w:pStyle w:val="Default"/>
              <w:rPr>
                <w:sz w:val="22"/>
                <w:szCs w:val="22"/>
              </w:rPr>
            </w:pPr>
            <w:r>
              <w:rPr>
                <w:i/>
                <w:iCs/>
                <w:sz w:val="22"/>
                <w:szCs w:val="22"/>
              </w:rPr>
              <w:t xml:space="preserve"> </w:t>
            </w:r>
          </w:p>
        </w:tc>
      </w:tr>
    </w:tbl>
    <w:p w14:paraId="29237BC6" w14:textId="16D965D1" w:rsidR="004C4A69" w:rsidRDefault="004C4A69" w:rsidP="004C4A69"/>
    <w:p w14:paraId="4457535B" w14:textId="6525AFCF" w:rsidR="00805361" w:rsidRDefault="00805361" w:rsidP="000733C8">
      <w:pPr>
        <w:rPr>
          <w:i/>
          <w:iCs/>
        </w:rPr>
      </w:pPr>
    </w:p>
    <w:p w14:paraId="71D68BA9" w14:textId="7A9A8A81" w:rsidR="00805361" w:rsidRDefault="00805361" w:rsidP="000733C8"/>
    <w:sectPr w:rsidR="00805361" w:rsidSect="006B3053">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F3BEE" w14:textId="77777777" w:rsidR="002A2992" w:rsidRDefault="002A2992" w:rsidP="002A2992">
      <w:pPr>
        <w:spacing w:after="0" w:line="240" w:lineRule="auto"/>
      </w:pPr>
      <w:r>
        <w:separator/>
      </w:r>
    </w:p>
  </w:endnote>
  <w:endnote w:type="continuationSeparator" w:id="0">
    <w:p w14:paraId="25B97523" w14:textId="77777777" w:rsidR="002A2992" w:rsidRDefault="002A2992" w:rsidP="002A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414274"/>
      <w:docPartObj>
        <w:docPartGallery w:val="Page Numbers (Bottom of Page)"/>
        <w:docPartUnique/>
      </w:docPartObj>
    </w:sdtPr>
    <w:sdtEndPr>
      <w:rPr>
        <w:color w:val="7F7F7F" w:themeColor="background1" w:themeShade="7F"/>
        <w:spacing w:val="60"/>
      </w:rPr>
    </w:sdtEndPr>
    <w:sdtContent>
      <w:p w14:paraId="4B39615F" w14:textId="475AB8C9" w:rsidR="006B3053" w:rsidRDefault="006B305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C01AF76" w14:textId="69DB1AAF" w:rsidR="002A2992" w:rsidRPr="004B0D8F" w:rsidRDefault="002A2992" w:rsidP="004B0D8F">
    <w:pPr>
      <w:tabs>
        <w:tab w:val="center" w:pos="4550"/>
        <w:tab w:val="left" w:pos="5818"/>
      </w:tabs>
      <w:ind w:right="260"/>
      <w:rPr>
        <w:color w:val="222A35" w:themeColor="text2"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6E65" w14:textId="77777777" w:rsidR="002A2992" w:rsidRDefault="002A2992" w:rsidP="002A2992">
      <w:pPr>
        <w:spacing w:after="0" w:line="240" w:lineRule="auto"/>
      </w:pPr>
      <w:r>
        <w:separator/>
      </w:r>
    </w:p>
  </w:footnote>
  <w:footnote w:type="continuationSeparator" w:id="0">
    <w:p w14:paraId="4D9FCFCA" w14:textId="77777777" w:rsidR="002A2992" w:rsidRDefault="002A2992" w:rsidP="002A2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E80"/>
    <w:multiLevelType w:val="hybridMultilevel"/>
    <w:tmpl w:val="514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3789E"/>
    <w:multiLevelType w:val="hybridMultilevel"/>
    <w:tmpl w:val="37D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47C52"/>
    <w:multiLevelType w:val="hybridMultilevel"/>
    <w:tmpl w:val="5BC2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36AAC"/>
    <w:multiLevelType w:val="hybridMultilevel"/>
    <w:tmpl w:val="24D6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F4AAC"/>
    <w:multiLevelType w:val="hybridMultilevel"/>
    <w:tmpl w:val="A0A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5477E"/>
    <w:multiLevelType w:val="hybridMultilevel"/>
    <w:tmpl w:val="C96A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66ED6"/>
    <w:multiLevelType w:val="hybridMultilevel"/>
    <w:tmpl w:val="A56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D0"/>
    <w:rsid w:val="000733C8"/>
    <w:rsid w:val="00131708"/>
    <w:rsid w:val="001C2C9B"/>
    <w:rsid w:val="002A2992"/>
    <w:rsid w:val="00350CA1"/>
    <w:rsid w:val="00390FBB"/>
    <w:rsid w:val="0044139E"/>
    <w:rsid w:val="004911E2"/>
    <w:rsid w:val="004A10F6"/>
    <w:rsid w:val="004B0D8F"/>
    <w:rsid w:val="004C4A69"/>
    <w:rsid w:val="00571609"/>
    <w:rsid w:val="00607C3E"/>
    <w:rsid w:val="006A37C9"/>
    <w:rsid w:val="006A5CD0"/>
    <w:rsid w:val="006B3053"/>
    <w:rsid w:val="007C4CE2"/>
    <w:rsid w:val="00805361"/>
    <w:rsid w:val="00846299"/>
    <w:rsid w:val="009248DA"/>
    <w:rsid w:val="00A81C71"/>
    <w:rsid w:val="00B40F8F"/>
    <w:rsid w:val="00CB242C"/>
    <w:rsid w:val="00CC40FA"/>
    <w:rsid w:val="00CD37A0"/>
    <w:rsid w:val="00E96B9E"/>
    <w:rsid w:val="00ED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2D5A4"/>
  <w15:chartTrackingRefBased/>
  <w15:docId w15:val="{64F7EB38-1E2C-488D-8C61-9396D67B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C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C4CE2"/>
    <w:pPr>
      <w:ind w:left="720"/>
      <w:contextualSpacing/>
    </w:pPr>
  </w:style>
  <w:style w:type="table" w:styleId="TableGrid">
    <w:name w:val="Table Grid"/>
    <w:basedOn w:val="TableNormal"/>
    <w:uiPriority w:val="39"/>
    <w:rsid w:val="0080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2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992"/>
    <w:rPr>
      <w:sz w:val="20"/>
      <w:szCs w:val="20"/>
    </w:rPr>
  </w:style>
  <w:style w:type="character" w:styleId="FootnoteReference">
    <w:name w:val="footnote reference"/>
    <w:basedOn w:val="DefaultParagraphFont"/>
    <w:uiPriority w:val="99"/>
    <w:semiHidden/>
    <w:unhideWhenUsed/>
    <w:rsid w:val="002A2992"/>
    <w:rPr>
      <w:vertAlign w:val="superscript"/>
    </w:rPr>
  </w:style>
  <w:style w:type="paragraph" w:styleId="Header">
    <w:name w:val="header"/>
    <w:basedOn w:val="Normal"/>
    <w:link w:val="HeaderChar"/>
    <w:uiPriority w:val="99"/>
    <w:unhideWhenUsed/>
    <w:rsid w:val="002A2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992"/>
  </w:style>
  <w:style w:type="paragraph" w:styleId="Footer">
    <w:name w:val="footer"/>
    <w:basedOn w:val="Normal"/>
    <w:link w:val="FooterChar"/>
    <w:uiPriority w:val="99"/>
    <w:unhideWhenUsed/>
    <w:rsid w:val="002A2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325498">
      <w:bodyDiv w:val="1"/>
      <w:marLeft w:val="0"/>
      <w:marRight w:val="0"/>
      <w:marTop w:val="0"/>
      <w:marBottom w:val="0"/>
      <w:divBdr>
        <w:top w:val="none" w:sz="0" w:space="0" w:color="auto"/>
        <w:left w:val="none" w:sz="0" w:space="0" w:color="auto"/>
        <w:bottom w:val="none" w:sz="0" w:space="0" w:color="auto"/>
        <w:right w:val="none" w:sz="0" w:space="0" w:color="auto"/>
      </w:divBdr>
    </w:div>
    <w:div w:id="21104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33EB-6D11-42E6-8DBB-B0E95C31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7509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Devon and Cornwall Police</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Jennifer 57492</dc:creator>
  <cp:keywords/>
  <dc:description/>
  <cp:lastModifiedBy>BUCKLEY Jennifer 57492</cp:lastModifiedBy>
  <cp:revision>2</cp:revision>
  <dcterms:created xsi:type="dcterms:W3CDTF">2021-04-19T11:11:00Z</dcterms:created>
  <dcterms:modified xsi:type="dcterms:W3CDTF">2021-04-19T11:11:00Z</dcterms:modified>
</cp:coreProperties>
</file>